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6A" w:rsidRPr="00D33F6A" w:rsidRDefault="00D33F6A" w:rsidP="00D33F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3F6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D33F6A" w:rsidRPr="00D33F6A" w:rsidRDefault="00D33F6A" w:rsidP="00D33F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33F6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D33F6A" w:rsidRPr="00D33F6A" w:rsidRDefault="00D33F6A" w:rsidP="00D33F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147</w:t>
      </w:r>
      <w:r w:rsidRPr="00D33F6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/2026. (V.21.) Kt. számú</w:t>
      </w:r>
    </w:p>
    <w:p w:rsidR="00D33F6A" w:rsidRPr="00D33F6A" w:rsidRDefault="00D33F6A" w:rsidP="00D33F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33F6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határozata</w:t>
      </w:r>
      <w:proofErr w:type="gramEnd"/>
    </w:p>
    <w:p w:rsidR="00D33F6A" w:rsidRPr="00D33F6A" w:rsidRDefault="00D33F6A" w:rsidP="00D33F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D33F6A" w:rsidRPr="00D33F6A" w:rsidRDefault="00D33F6A" w:rsidP="00D33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6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D33F6A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D33F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3F6A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D33F6A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</w:t>
      </w:r>
      <w:proofErr w:type="gramStart"/>
      <w:r w:rsidRPr="00D33F6A">
        <w:rPr>
          <w:rFonts w:ascii="Times New Roman" w:hAnsi="Times New Roman" w:cs="Times New Roman"/>
          <w:b/>
          <w:sz w:val="24"/>
          <w:szCs w:val="24"/>
        </w:rPr>
        <w:t>Központ alapító</w:t>
      </w:r>
      <w:proofErr w:type="gramEnd"/>
      <w:r w:rsidRPr="00D33F6A">
        <w:rPr>
          <w:rFonts w:ascii="Times New Roman" w:hAnsi="Times New Roman" w:cs="Times New Roman"/>
          <w:b/>
          <w:sz w:val="24"/>
          <w:szCs w:val="24"/>
        </w:rPr>
        <w:t xml:space="preserve"> okiratának módosítása </w:t>
      </w:r>
    </w:p>
    <w:p w:rsidR="00D33F6A" w:rsidRPr="00D33F6A" w:rsidRDefault="00D33F6A" w:rsidP="00D33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33F6A" w:rsidRPr="00D33F6A" w:rsidRDefault="00D33F6A" w:rsidP="00D33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Tiszavasvári Város Önkormányzata Képviselő-testülete az államháztartásról szóló 2011. évi CXCV. törvény 7.§ és 8. §. (1) bekezdés b) pontjában biztosított jogkörében eljárva az önkormányzat által fenntartott </w:t>
      </w:r>
      <w:proofErr w:type="spellStart"/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>Kornisné</w:t>
      </w:r>
      <w:proofErr w:type="spellEnd"/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>Liptay</w:t>
      </w:r>
      <w:proofErr w:type="spellEnd"/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Elza Szociális és Gyermekjóléti Központ TPH/2598-9/2026. számú alapító okiratát az alábbiak szerint módosítja: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</w:pPr>
    </w:p>
    <w:p w:rsidR="00D33F6A" w:rsidRPr="00D33F6A" w:rsidRDefault="00D33F6A" w:rsidP="00D33F6A">
      <w:pPr>
        <w:pStyle w:val="Listaszerbekezds"/>
        <w:numPr>
          <w:ilvl w:val="3"/>
          <w:numId w:val="1"/>
        </w:numPr>
        <w:tabs>
          <w:tab w:val="left" w:leader="dot" w:pos="9072"/>
          <w:tab w:val="left" w:leader="dot" w:pos="16443"/>
        </w:tabs>
        <w:ind w:left="567" w:hanging="283"/>
      </w:pPr>
      <w:r w:rsidRPr="00D33F6A">
        <w:t xml:space="preserve">Az alapító okirat 1.2.2. pontban szereplő telephely táblázat az alábbiakban módosul: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709"/>
      </w:tblGrid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címe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 xml:space="preserve"> gyógyító szakellátása, vérvételi hely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21.</w:t>
            </w:r>
          </w:p>
        </w:tc>
      </w:tr>
      <w:tr w:rsidR="00D33F6A" w:rsidRPr="00D33F6A" w:rsidTr="000769BF">
        <w:trPr>
          <w:trHeight w:val="909"/>
        </w:trPr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Étkeztetés, idősek nappali ellátása, család-és gyermekjóléti szolgálat, család-és gyermekjóléti központ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23.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Fizikoterápiás szolgáltatás és ellátás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Házi segítségnyújtás, jelzőrendszeres házi segítségnyújtás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gyógyító szakellátása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6. 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Mesevilág Biztos Kezdet Gyerekház</w:t>
            </w:r>
          </w:p>
        </w:tc>
        <w:tc>
          <w:tcPr>
            <w:tcW w:w="4709" w:type="dxa"/>
          </w:tcPr>
          <w:p w:rsidR="00D33F6A" w:rsidRPr="00D33F6A" w:rsidRDefault="00D33F6A" w:rsidP="00D33F6A">
            <w:pPr>
              <w:pStyle w:val="Listaszerbekezds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proofErr w:type="spellStart"/>
            <w:r w:rsidRPr="00D33F6A">
              <w:rPr>
                <w:rFonts w:asciiTheme="majorHAnsi" w:hAnsiTheme="majorHAnsi"/>
              </w:rPr>
              <w:t>zavasvári</w:t>
            </w:r>
            <w:proofErr w:type="spellEnd"/>
            <w:r w:rsidRPr="00D33F6A">
              <w:rPr>
                <w:rFonts w:asciiTheme="majorHAnsi" w:hAnsiTheme="majorHAnsi"/>
              </w:rPr>
              <w:t>, Vasvári Pál utca 93/</w:t>
            </w:r>
            <w:proofErr w:type="gramStart"/>
            <w:r w:rsidRPr="00D33F6A">
              <w:rPr>
                <w:rFonts w:asciiTheme="majorHAnsi" w:hAnsiTheme="majorHAnsi"/>
              </w:rPr>
              <w:t>A</w:t>
            </w:r>
            <w:proofErr w:type="gramEnd"/>
            <w:r w:rsidRPr="00D33F6A">
              <w:rPr>
                <w:rFonts w:asciiTheme="majorHAnsi" w:hAnsiTheme="majorHAnsi"/>
              </w:rPr>
              <w:t xml:space="preserve"> 2. ajtó</w:t>
            </w:r>
          </w:p>
        </w:tc>
      </w:tr>
    </w:tbl>
    <w:p w:rsidR="00D33F6A" w:rsidRPr="00D33F6A" w:rsidRDefault="00D33F6A" w:rsidP="00D33F6A">
      <w:pPr>
        <w:tabs>
          <w:tab w:val="left" w:leader="dot" w:pos="9072"/>
        </w:tabs>
        <w:spacing w:before="80" w:after="12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</w:rPr>
      </w:pPr>
      <w:r w:rsidRPr="00D33F6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2. </w:t>
      </w:r>
      <w:r w:rsidRPr="00D33F6A">
        <w:rPr>
          <w:rFonts w:asciiTheme="majorHAnsi" w:hAnsiTheme="majorHAnsi"/>
        </w:rPr>
        <w:t xml:space="preserve">Az alapító okirat 4.4. pontjában szereplő kormányzati funkció táblázat az alábbiakban módosul: 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062020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Településfejlesztési projektek és támogatásuk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072210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Járóbetegek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gyógyító szakellátása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Otthoni (egészségügyi) szakápolás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072450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Fizikoterápiás szolgáltatás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073410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Egészségügyi ápolás bentlakással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 xml:space="preserve">6. 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074032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proofErr w:type="gramStart"/>
            <w:r w:rsidRPr="00D33F6A">
              <w:rPr>
                <w:rFonts w:asciiTheme="majorHAnsi" w:hAnsiTheme="majorHAnsi"/>
              </w:rPr>
              <w:t>Ifjúság-egészségügyi gondozás</w:t>
            </w:r>
            <w:proofErr w:type="gramEnd"/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092270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Szakképző iskolai tanulók szakmai gyakorlati oktatásával összefüggő működtetési feladatok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101110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Bentlakásos, nem kórházi ellátás, 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101211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Fogyatékossággal élők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101222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Támogató szolgáltatás fogyatékos személyek részére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11.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Időskorúak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12.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Demens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betegek tartós bentlakásos ellátása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lastRenderedPageBreak/>
              <w:t>13.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102031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Idősek nappali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14.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104030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15.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szolgáltatások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16.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központ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Biztos Kezdet Gyerekház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Szociális étkeztetés szociális konyhán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Házi segítségnyújtás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Jelzőrendszeres házi segítségnyújtás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21.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107055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Falugondnoki, tanyagondnoki szolgáltatás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22.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107090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</w:rPr>
              <w:t>Romák társadalmi integrációját elősegítő tevékenységek, programok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869500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hAnsiTheme="majorHAnsi"/>
              </w:rPr>
              <w:t xml:space="preserve">Fizioterápiás ellátás 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24.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869900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D33F6A">
              <w:rPr>
                <w:rFonts w:asciiTheme="majorHAnsi" w:hAnsiTheme="majorHAnsi"/>
              </w:rPr>
              <w:t>M.n.s</w:t>
            </w:r>
            <w:proofErr w:type="spellEnd"/>
            <w:r w:rsidRPr="00D33F6A">
              <w:rPr>
                <w:rFonts w:asciiTheme="majorHAnsi" w:hAnsiTheme="majorHAnsi"/>
              </w:rPr>
              <w:t xml:space="preserve">. egyéb </w:t>
            </w:r>
            <w:proofErr w:type="spellStart"/>
            <w:r w:rsidRPr="00D33F6A">
              <w:rPr>
                <w:rFonts w:asciiTheme="majorHAnsi" w:hAnsiTheme="majorHAnsi"/>
              </w:rPr>
              <w:t>humánegészségügyi</w:t>
            </w:r>
            <w:proofErr w:type="spellEnd"/>
            <w:r w:rsidRPr="00D33F6A">
              <w:rPr>
                <w:rFonts w:asciiTheme="majorHAnsi" w:hAnsiTheme="majorHAnsi"/>
              </w:rPr>
              <w:t xml:space="preserve"> ellátás</w:t>
            </w:r>
          </w:p>
        </w:tc>
      </w:tr>
    </w:tbl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ind w:left="567"/>
        <w:rPr>
          <w:rFonts w:asciiTheme="majorHAnsi" w:hAnsiTheme="majorHAnsi"/>
          <w:sz w:val="22"/>
          <w:szCs w:val="22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ind w:left="567"/>
        <w:rPr>
          <w:rFonts w:asciiTheme="majorHAnsi" w:hAnsiTheme="majorHAnsi"/>
          <w:sz w:val="22"/>
          <w:szCs w:val="22"/>
        </w:rPr>
      </w:pPr>
    </w:p>
    <w:p w:rsidR="00D33F6A" w:rsidRPr="00D33F6A" w:rsidRDefault="00D33F6A" w:rsidP="00D33F6A">
      <w:pPr>
        <w:pStyle w:val="Listaszerbekezds"/>
        <w:numPr>
          <w:ilvl w:val="0"/>
          <w:numId w:val="4"/>
        </w:numPr>
      </w:pPr>
      <w:r w:rsidRPr="00D33F6A">
        <w:t xml:space="preserve">A költségvetési szerv illetékességi, működési területe 4.5. pont szerinti táblázata az alábbi sorokkal egészül ki: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Gyógytorna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Fizikoterápia/fizioterápia ellátás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Tiszalök, Tiszadob</w:t>
            </w:r>
          </w:p>
        </w:tc>
      </w:tr>
    </w:tbl>
    <w:p w:rsidR="00D33F6A" w:rsidRPr="00D33F6A" w:rsidRDefault="00D33F6A" w:rsidP="00D33F6A">
      <w:pPr>
        <w:pStyle w:val="Listaszerbekezds"/>
      </w:pPr>
    </w:p>
    <w:p w:rsidR="00D33F6A" w:rsidRPr="00D33F6A" w:rsidRDefault="00D33F6A" w:rsidP="00D33F6A">
      <w:pPr>
        <w:pStyle w:val="Listaszerbekezds"/>
        <w:numPr>
          <w:ilvl w:val="0"/>
          <w:numId w:val="4"/>
        </w:numPr>
      </w:pPr>
      <w:r w:rsidRPr="00D33F6A">
        <w:t>Felkéri a polgármestert és a jegyzőt, hogy 8 napon belül kérelmezzék a Magyar Államkincstárnál a módosított alapító okirat törzskönyvi nyilvántartáson való átvezetését.</w:t>
      </w:r>
    </w:p>
    <w:p w:rsidR="00D33F6A" w:rsidRPr="00D33F6A" w:rsidRDefault="00D33F6A" w:rsidP="00D33F6A">
      <w:pPr>
        <w:pStyle w:val="Listaszerbekezds"/>
        <w:ind w:left="284"/>
      </w:pPr>
    </w:p>
    <w:p w:rsidR="00D33F6A" w:rsidRPr="00D33F6A" w:rsidRDefault="00D33F6A" w:rsidP="00D33F6A">
      <w:pPr>
        <w:pStyle w:val="Listaszerbekezds"/>
        <w:numPr>
          <w:ilvl w:val="0"/>
          <w:numId w:val="4"/>
        </w:numPr>
        <w:ind w:left="284" w:firstLine="0"/>
        <w:rPr>
          <w:b/>
          <w:bCs/>
        </w:rPr>
      </w:pPr>
      <w:r w:rsidRPr="00D33F6A">
        <w:t xml:space="preserve">Felkéri a Polgármestert, hogy a </w:t>
      </w:r>
      <w:proofErr w:type="spellStart"/>
      <w:r w:rsidRPr="00D33F6A">
        <w:t>Kornisné</w:t>
      </w:r>
      <w:proofErr w:type="spellEnd"/>
      <w:r w:rsidRPr="00D33F6A">
        <w:t xml:space="preserve"> </w:t>
      </w:r>
      <w:proofErr w:type="spellStart"/>
      <w:r w:rsidRPr="00D33F6A">
        <w:t>Liptay</w:t>
      </w:r>
      <w:proofErr w:type="spellEnd"/>
      <w:r w:rsidRPr="00D33F6A">
        <w:t xml:space="preserve"> Elza Szociális és Gyermekjóléti Központ intézményvezetőjét tájékoztassa a képviselő-testület döntéséről.</w:t>
      </w:r>
    </w:p>
    <w:p w:rsidR="00D33F6A" w:rsidRPr="00D33F6A" w:rsidRDefault="00D33F6A" w:rsidP="00D33F6A">
      <w:pPr>
        <w:pStyle w:val="Listaszerbekezds"/>
        <w:ind w:left="567" w:hanging="283"/>
        <w:rPr>
          <w:b/>
          <w:bCs/>
        </w:rPr>
      </w:pPr>
    </w:p>
    <w:p w:rsidR="00D33F6A" w:rsidRPr="00D33F6A" w:rsidRDefault="00D33F6A" w:rsidP="00D33F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3F6A" w:rsidRPr="00D33F6A" w:rsidRDefault="00D33F6A" w:rsidP="00D3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F6A">
        <w:rPr>
          <w:rFonts w:ascii="Times New Roman" w:hAnsi="Times New Roman" w:cs="Times New Roman"/>
          <w:b/>
          <w:bCs/>
          <w:sz w:val="24"/>
          <w:szCs w:val="24"/>
        </w:rPr>
        <w:t xml:space="preserve">Határidő: </w:t>
      </w:r>
      <w:r w:rsidRPr="00D33F6A">
        <w:rPr>
          <w:rFonts w:ascii="Times New Roman" w:hAnsi="Times New Roman" w:cs="Times New Roman"/>
          <w:sz w:val="24"/>
          <w:szCs w:val="24"/>
        </w:rPr>
        <w:t>döntés után 8 nap</w:t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b/>
          <w:bCs/>
          <w:sz w:val="24"/>
          <w:szCs w:val="24"/>
        </w:rPr>
        <w:t>Felelős:</w:t>
      </w:r>
      <w:r w:rsidRPr="00D33F6A">
        <w:rPr>
          <w:rFonts w:ascii="Times New Roman" w:hAnsi="Times New Roman" w:cs="Times New Roman"/>
          <w:sz w:val="24"/>
          <w:szCs w:val="24"/>
        </w:rPr>
        <w:t xml:space="preserve"> Balázsi Csilla polgármester és</w:t>
      </w:r>
    </w:p>
    <w:p w:rsidR="00D33F6A" w:rsidRPr="00D33F6A" w:rsidRDefault="00D33F6A" w:rsidP="00D3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</w:r>
      <w:r w:rsidRPr="00D33F6A">
        <w:rPr>
          <w:rFonts w:ascii="Times New Roman" w:hAnsi="Times New Roman" w:cs="Times New Roman"/>
          <w:sz w:val="24"/>
          <w:szCs w:val="24"/>
        </w:rPr>
        <w:tab/>
        <w:t xml:space="preserve">  Dr. Kovács János jegyző</w:t>
      </w: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Default="00D33F6A" w:rsidP="00D33F6A"/>
    <w:p w:rsidR="00D33F6A" w:rsidRPr="00721D7D" w:rsidRDefault="00D33F6A" w:rsidP="00D33F6A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ja-JP"/>
        </w:rPr>
      </w:pPr>
    </w:p>
    <w:p w:rsidR="00D33F6A" w:rsidRPr="00721D7D" w:rsidRDefault="00D33F6A" w:rsidP="00D33F6A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ja-JP"/>
        </w:rPr>
      </w:pPr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 xml:space="preserve">                Balázsi </w:t>
      </w:r>
      <w:proofErr w:type="gramStart"/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Csilla                                                             Dr.</w:t>
      </w:r>
      <w:proofErr w:type="gramEnd"/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 xml:space="preserve"> Kovács János </w:t>
      </w:r>
    </w:p>
    <w:p w:rsidR="00D33F6A" w:rsidRPr="00721D7D" w:rsidRDefault="00D33F6A" w:rsidP="00D33F6A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ja-JP"/>
        </w:rPr>
      </w:pPr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 xml:space="preserve">                </w:t>
      </w:r>
      <w:proofErr w:type="gramStart"/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polgármester</w:t>
      </w:r>
      <w:proofErr w:type="gramEnd"/>
      <w:r w:rsidRPr="00721D7D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jegyző</w:t>
      </w:r>
    </w:p>
    <w:p w:rsidR="00D33F6A" w:rsidRPr="00C10F4E" w:rsidRDefault="00D33F6A" w:rsidP="00D33F6A">
      <w:pPr>
        <w:rPr>
          <w:color w:val="EE0000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t>147</w:t>
      </w:r>
      <w:r w:rsidRPr="00D33F6A"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  <w:t>/2026. (V.21.) Kt. számú határozat 1. melléklete</w:t>
      </w:r>
    </w:p>
    <w:p w:rsidR="00D33F6A" w:rsidRPr="00D33F6A" w:rsidRDefault="00D33F6A" w:rsidP="00D33F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D33F6A" w:rsidRPr="00D33F6A" w:rsidRDefault="00D33F6A" w:rsidP="00D33F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Okirat száma: TPH/</w:t>
      </w:r>
      <w:proofErr w:type="gramStart"/>
      <w:r w:rsidRPr="00D33F6A">
        <w:rPr>
          <w:rFonts w:asciiTheme="majorHAnsi" w:eastAsia="Calibri" w:hAnsiTheme="majorHAnsi" w:cs="Times New Roman"/>
          <w:lang w:eastAsia="hu-HU"/>
        </w:rPr>
        <w:t>2598-  …</w:t>
      </w:r>
      <w:proofErr w:type="gramEnd"/>
      <w:r w:rsidRPr="00D33F6A">
        <w:rPr>
          <w:rFonts w:asciiTheme="majorHAnsi" w:eastAsia="Calibri" w:hAnsiTheme="majorHAnsi" w:cs="Times New Roman"/>
          <w:lang w:eastAsia="hu-HU"/>
        </w:rPr>
        <w:t>/2026.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before="100" w:beforeAutospacing="1" w:after="100" w:afterAutospacing="1" w:line="240" w:lineRule="auto"/>
        <w:jc w:val="center"/>
        <w:rPr>
          <w:rFonts w:asciiTheme="majorHAnsi" w:eastAsia="Calibri" w:hAnsiTheme="majorHAnsi" w:cs="Times New Roman"/>
          <w:sz w:val="40"/>
          <w:szCs w:val="40"/>
          <w:lang w:eastAsia="hu-HU"/>
        </w:rPr>
      </w:pPr>
      <w:r w:rsidRPr="00D33F6A">
        <w:rPr>
          <w:rFonts w:asciiTheme="majorHAnsi" w:eastAsia="Calibri" w:hAnsiTheme="majorHAnsi" w:cs="Times New Roman"/>
          <w:sz w:val="40"/>
          <w:szCs w:val="40"/>
          <w:lang w:eastAsia="hu-HU"/>
        </w:rPr>
        <w:t>Módosító okirat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eastAsia="hu-HU"/>
        </w:rPr>
      </w:pPr>
      <w:r w:rsidRPr="00D33F6A">
        <w:rPr>
          <w:rFonts w:asciiTheme="majorHAnsi" w:eastAsia="Calibri" w:hAnsiTheme="majorHAnsi" w:cs="Times New Roman"/>
          <w:b/>
          <w:lang w:eastAsia="hu-HU"/>
        </w:rPr>
        <w:t>A</w:t>
      </w:r>
      <w:r w:rsidRPr="00D33F6A">
        <w:rPr>
          <w:rFonts w:asciiTheme="majorHAnsi" w:eastAsia="Calibri" w:hAnsiTheme="majorHAnsi" w:cs="Times New Roman"/>
          <w:lang w:eastAsia="hu-HU"/>
        </w:rPr>
        <w:t xml:space="preserve"> </w:t>
      </w:r>
      <w:proofErr w:type="spellStart"/>
      <w:r w:rsidRPr="00D33F6A">
        <w:rPr>
          <w:rFonts w:asciiTheme="majorHAnsi" w:eastAsia="Calibri" w:hAnsiTheme="majorHAnsi" w:cs="Times New Roman"/>
          <w:b/>
          <w:lang w:eastAsia="hu-HU"/>
        </w:rPr>
        <w:t>Kornisné</w:t>
      </w:r>
      <w:proofErr w:type="spellEnd"/>
      <w:r w:rsidRPr="00D33F6A">
        <w:rPr>
          <w:rFonts w:asciiTheme="majorHAnsi" w:eastAsia="Calibri" w:hAnsiTheme="majorHAnsi" w:cs="Times New Roman"/>
          <w:b/>
          <w:lang w:eastAsia="hu-HU"/>
        </w:rPr>
        <w:t xml:space="preserve"> </w:t>
      </w:r>
      <w:proofErr w:type="spellStart"/>
      <w:r w:rsidRPr="00D33F6A">
        <w:rPr>
          <w:rFonts w:asciiTheme="majorHAnsi" w:eastAsia="Calibri" w:hAnsiTheme="majorHAnsi" w:cs="Times New Roman"/>
          <w:b/>
          <w:lang w:eastAsia="hu-HU"/>
        </w:rPr>
        <w:t>Liptay</w:t>
      </w:r>
      <w:proofErr w:type="spellEnd"/>
      <w:r w:rsidRPr="00D33F6A">
        <w:rPr>
          <w:rFonts w:asciiTheme="majorHAnsi" w:eastAsia="Calibri" w:hAnsiTheme="majorHAnsi" w:cs="Times New Roman"/>
          <w:b/>
          <w:lang w:eastAsia="hu-HU"/>
        </w:rPr>
        <w:t xml:space="preserve"> Elza Szociális és Gyermekjóléti Központ, Tiszavasvári Város Önkormányzat Képviselő-testülete</w:t>
      </w:r>
      <w:r w:rsidRPr="00D33F6A">
        <w:rPr>
          <w:rFonts w:asciiTheme="majorHAnsi" w:eastAsia="Calibri" w:hAnsiTheme="majorHAnsi" w:cs="Times New Roman"/>
          <w:lang w:eastAsia="hu-HU"/>
        </w:rPr>
        <w:t xml:space="preserve"> </w:t>
      </w:r>
      <w:r w:rsidRPr="00D33F6A">
        <w:rPr>
          <w:rFonts w:asciiTheme="majorHAnsi" w:eastAsia="Calibri" w:hAnsiTheme="majorHAnsi" w:cs="Times New Roman"/>
          <w:b/>
          <w:lang w:eastAsia="hu-HU"/>
        </w:rPr>
        <w:t>által 2026. 03.13. napján kiadott, TPH/2598-9/2026.  számú</w:t>
      </w:r>
      <w:r w:rsidRPr="00D33F6A">
        <w:rPr>
          <w:rFonts w:asciiTheme="majorHAnsi" w:eastAsia="Calibri" w:hAnsiTheme="majorHAnsi" w:cs="Times New Roman"/>
          <w:lang w:eastAsia="hu-HU"/>
        </w:rPr>
        <w:t xml:space="preserve"> </w:t>
      </w:r>
      <w:r w:rsidRPr="00D33F6A">
        <w:rPr>
          <w:rFonts w:asciiTheme="majorHAnsi" w:eastAsia="Calibri" w:hAnsiTheme="majorHAnsi" w:cs="Times New Roman"/>
          <w:b/>
          <w:lang w:eastAsia="hu-HU"/>
        </w:rPr>
        <w:t>alapító okiratát</w:t>
      </w:r>
      <w:r w:rsidRPr="00D33F6A">
        <w:rPr>
          <w:rFonts w:asciiTheme="majorHAnsi" w:eastAsia="Calibri" w:hAnsiTheme="majorHAnsi" w:cs="Times New Roman"/>
          <w:lang w:eastAsia="hu-HU"/>
        </w:rPr>
        <w:t xml:space="preserve"> </w:t>
      </w:r>
      <w:r w:rsidRPr="00D33F6A">
        <w:rPr>
          <w:rFonts w:asciiTheme="majorHAnsi" w:eastAsia="Calibri" w:hAnsiTheme="majorHAnsi" w:cs="Times New Roman"/>
          <w:b/>
          <w:bCs/>
          <w:lang w:eastAsia="hu-HU"/>
        </w:rPr>
        <w:t>az államháztartásról szóló 2011. évi CXCV. törvény 8/</w:t>
      </w:r>
      <w:proofErr w:type="gramStart"/>
      <w:r w:rsidRPr="00D33F6A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gramEnd"/>
      <w:r w:rsidRPr="00D33F6A">
        <w:rPr>
          <w:rFonts w:asciiTheme="majorHAnsi" w:eastAsia="Calibri" w:hAnsiTheme="majorHAnsi" w:cs="Times New Roman"/>
          <w:b/>
          <w:bCs/>
          <w:lang w:eastAsia="hu-HU"/>
        </w:rPr>
        <w:t>. §</w:t>
      </w:r>
      <w:proofErr w:type="spellStart"/>
      <w:r w:rsidRPr="00D33F6A">
        <w:rPr>
          <w:rFonts w:asciiTheme="majorHAnsi" w:eastAsia="Calibri" w:hAnsiTheme="majorHAnsi" w:cs="Times New Roman"/>
          <w:b/>
          <w:bCs/>
          <w:lang w:eastAsia="hu-HU"/>
        </w:rPr>
        <w:t>-</w:t>
      </w:r>
      <w:proofErr w:type="gramStart"/>
      <w:r w:rsidRPr="00D33F6A">
        <w:rPr>
          <w:rFonts w:asciiTheme="majorHAnsi" w:eastAsia="Calibri" w:hAnsiTheme="majorHAnsi" w:cs="Times New Roman"/>
          <w:b/>
          <w:bCs/>
          <w:lang w:eastAsia="hu-HU"/>
        </w:rPr>
        <w:t>a</w:t>
      </w:r>
      <w:proofErr w:type="spellEnd"/>
      <w:proofErr w:type="gramEnd"/>
      <w:r w:rsidRPr="00D33F6A">
        <w:rPr>
          <w:rFonts w:asciiTheme="majorHAnsi" w:eastAsia="Calibri" w:hAnsiTheme="majorHAnsi" w:cs="Times New Roman"/>
          <w:b/>
          <w:bCs/>
          <w:lang w:eastAsia="hu-HU"/>
        </w:rPr>
        <w:t xml:space="preserve"> alapján – Tiszavasvári Város Önkormányzata Képviselő-testületének …./2026.(V. 21.) Kt. számú határozatára figyelemmel – a következők szerint módosítom: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eastAsia="hu-HU"/>
        </w:rPr>
      </w:pPr>
    </w:p>
    <w:p w:rsidR="00D33F6A" w:rsidRPr="00D33F6A" w:rsidRDefault="00D33F6A" w:rsidP="00D33F6A">
      <w:pPr>
        <w:pStyle w:val="Listaszerbekezds"/>
        <w:numPr>
          <w:ilvl w:val="3"/>
          <w:numId w:val="1"/>
        </w:numPr>
        <w:tabs>
          <w:tab w:val="left" w:leader="dot" w:pos="9072"/>
          <w:tab w:val="left" w:leader="dot" w:pos="16443"/>
        </w:tabs>
        <w:ind w:left="567" w:hanging="283"/>
      </w:pPr>
      <w:r w:rsidRPr="00D33F6A">
        <w:t xml:space="preserve">Az alapító okirat 1.2.2. pontban szereplő telephely táblázat az alábbiakban módosul: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709"/>
      </w:tblGrid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címe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 xml:space="preserve"> gyógyító szakellátása, vérvételi hely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21.</w:t>
            </w:r>
          </w:p>
        </w:tc>
      </w:tr>
      <w:tr w:rsidR="00D33F6A" w:rsidRPr="00D33F6A" w:rsidTr="000769BF">
        <w:trPr>
          <w:trHeight w:val="909"/>
        </w:trPr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Étkeztetés, idősek nappali ellátása, család-és gyermekjóléti szolgálat, család-és gyermekjóléti központ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23.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Fizikoterápiás szolgáltatás és ellátás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Házi segítségnyújtás, jelzőrendszeres házi segítségnyújtás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gyógyító szakellátása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6. 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Mesevilág Biztos Kezdet Gyerekház</w:t>
            </w:r>
          </w:p>
        </w:tc>
        <w:tc>
          <w:tcPr>
            <w:tcW w:w="4709" w:type="dxa"/>
          </w:tcPr>
          <w:p w:rsidR="00D33F6A" w:rsidRPr="00D33F6A" w:rsidRDefault="00D33F6A" w:rsidP="00D33F6A">
            <w:pPr>
              <w:pStyle w:val="Listaszerbekezds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proofErr w:type="spellStart"/>
            <w:r w:rsidRPr="00D33F6A">
              <w:rPr>
                <w:rFonts w:asciiTheme="majorHAnsi" w:hAnsiTheme="majorHAnsi"/>
              </w:rPr>
              <w:t>zavasvári</w:t>
            </w:r>
            <w:proofErr w:type="spellEnd"/>
            <w:r w:rsidRPr="00D33F6A">
              <w:rPr>
                <w:rFonts w:asciiTheme="majorHAnsi" w:hAnsiTheme="majorHAnsi"/>
              </w:rPr>
              <w:t>, Vasvári Pál utca 93/</w:t>
            </w:r>
            <w:proofErr w:type="gramStart"/>
            <w:r w:rsidRPr="00D33F6A">
              <w:rPr>
                <w:rFonts w:asciiTheme="majorHAnsi" w:hAnsiTheme="majorHAnsi"/>
              </w:rPr>
              <w:t>A</w:t>
            </w:r>
            <w:proofErr w:type="gramEnd"/>
            <w:r w:rsidRPr="00D33F6A">
              <w:rPr>
                <w:rFonts w:asciiTheme="majorHAnsi" w:hAnsiTheme="majorHAnsi"/>
              </w:rPr>
              <w:t xml:space="preserve"> 2. ajtó</w:t>
            </w:r>
          </w:p>
        </w:tc>
      </w:tr>
    </w:tbl>
    <w:p w:rsidR="00D33F6A" w:rsidRPr="00D33F6A" w:rsidRDefault="00D33F6A" w:rsidP="00D33F6A">
      <w:pPr>
        <w:tabs>
          <w:tab w:val="left" w:leader="dot" w:pos="9072"/>
        </w:tabs>
        <w:spacing w:before="80" w:after="12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33F6A" w:rsidRPr="00D33F6A" w:rsidRDefault="00D33F6A" w:rsidP="00D33F6A">
      <w:pPr>
        <w:pStyle w:val="Listaszerbekezds"/>
        <w:numPr>
          <w:ilvl w:val="0"/>
          <w:numId w:val="5"/>
        </w:numPr>
        <w:tabs>
          <w:tab w:val="left" w:leader="dot" w:pos="9072"/>
          <w:tab w:val="left" w:leader="dot" w:pos="16443"/>
        </w:tabs>
        <w:rPr>
          <w:rFonts w:asciiTheme="majorHAnsi" w:hAnsiTheme="majorHAnsi"/>
        </w:rPr>
      </w:pPr>
      <w:r w:rsidRPr="00D33F6A">
        <w:rPr>
          <w:rFonts w:asciiTheme="majorHAnsi" w:hAnsiTheme="majorHAnsi"/>
        </w:rPr>
        <w:t xml:space="preserve">Az alapító okirat 4.4. pontjában szereplő kormányzati funkció táblázat az alábbiakban módosul: 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kormányzati funkció megnevezése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062020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Településfejlesztési projektek és támogatásuk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072210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Járóbetegek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gyógyító szakellátása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Otthoni (egészségügyi) szakápolás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072450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Fizikoterápiás szolgáltatás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073410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Egészségügyi ápolás bentlakással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 xml:space="preserve">6. 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074032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proofErr w:type="gramStart"/>
            <w:r w:rsidRPr="00D33F6A">
              <w:rPr>
                <w:rFonts w:asciiTheme="majorHAnsi" w:hAnsiTheme="majorHAnsi"/>
              </w:rPr>
              <w:t>Ifjúság-egészségügyi gondozás</w:t>
            </w:r>
            <w:proofErr w:type="gramEnd"/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092270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Szakképző iskolai tanulók szakmai gyakorlati oktatásával összefüggő működtetési feladatok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101110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Bentlakásos, nem kórházi ellátás, 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101211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Fogyatékossággal élők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101222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Támogató szolgáltatás fogyatékos személyek részére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lastRenderedPageBreak/>
              <w:t>11.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Időskorúak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12.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Demens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betegek tartós bentlakásos ellátása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102031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Idősek nappali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14.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104030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15.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szolgáltatások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16.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központ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Biztos Kezdet Gyerekház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Szociális étkeztetés szociális konyhán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Házi segítségnyújtás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Jelzőrendszeres házi segítségnyújtás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21.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107055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Falugondnoki, tanyagondnoki szolgáltatás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22.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107090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</w:rPr>
              <w:t>Romák társadalmi integrációját elősegítő tevékenységek, programok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869500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hAnsiTheme="majorHAnsi"/>
              </w:rPr>
              <w:t xml:space="preserve">Fizioterápiás ellátás 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24.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869900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D33F6A">
              <w:rPr>
                <w:rFonts w:asciiTheme="majorHAnsi" w:hAnsiTheme="majorHAnsi"/>
              </w:rPr>
              <w:t>M.n.s</w:t>
            </w:r>
            <w:proofErr w:type="spellEnd"/>
            <w:r w:rsidRPr="00D33F6A">
              <w:rPr>
                <w:rFonts w:asciiTheme="majorHAnsi" w:hAnsiTheme="majorHAnsi"/>
              </w:rPr>
              <w:t xml:space="preserve">. egyéb </w:t>
            </w:r>
            <w:proofErr w:type="spellStart"/>
            <w:r w:rsidRPr="00D33F6A">
              <w:rPr>
                <w:rFonts w:asciiTheme="majorHAnsi" w:hAnsiTheme="majorHAnsi"/>
              </w:rPr>
              <w:t>humánegészségügyi</w:t>
            </w:r>
            <w:proofErr w:type="spellEnd"/>
            <w:r w:rsidRPr="00D33F6A">
              <w:rPr>
                <w:rFonts w:asciiTheme="majorHAnsi" w:hAnsiTheme="majorHAnsi"/>
              </w:rPr>
              <w:t xml:space="preserve"> ellátás</w:t>
            </w:r>
          </w:p>
        </w:tc>
      </w:tr>
    </w:tbl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ind w:left="567"/>
        <w:rPr>
          <w:rFonts w:asciiTheme="majorHAnsi" w:hAnsiTheme="majorHAnsi"/>
          <w:sz w:val="22"/>
          <w:szCs w:val="22"/>
        </w:rPr>
      </w:pPr>
    </w:p>
    <w:p w:rsidR="00D33F6A" w:rsidRPr="00D33F6A" w:rsidRDefault="00D33F6A" w:rsidP="00D33F6A">
      <w:pPr>
        <w:pStyle w:val="Listaszerbekezds"/>
        <w:numPr>
          <w:ilvl w:val="0"/>
          <w:numId w:val="6"/>
        </w:numPr>
      </w:pPr>
      <w:r w:rsidRPr="00D33F6A">
        <w:t xml:space="preserve">A költségvetési szerv illetékességi, működési területe 4.5. pont szerinti táblázata az alábbi sorokkal egészül ki: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Gyógytorna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Fizikoterápia/fizioterápia ellátás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Tiszalök, Tiszadob</w:t>
            </w:r>
          </w:p>
        </w:tc>
      </w:tr>
    </w:tbl>
    <w:p w:rsidR="00D33F6A" w:rsidRPr="00D33F6A" w:rsidRDefault="00D33F6A" w:rsidP="00D33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Jelen módosító okiratot a törzskönyvi nyilvántartásba történő bejegyzés napjától kell alkalmazni.</w:t>
      </w:r>
    </w:p>
    <w:p w:rsidR="00D33F6A" w:rsidRPr="00D33F6A" w:rsidRDefault="00D33F6A" w:rsidP="00D33F6A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Theme="majorHAnsi" w:eastAsia="Calibri" w:hAnsiTheme="majorHAnsi" w:cs="Times New Roman"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Kelt: Tiszavasvári, 2026. időbélyegző szerint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Theme="majorHAnsi" w:eastAsia="Calibri" w:hAnsiTheme="majorHAnsi" w:cs="Times New Roman"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P.H.</w:t>
      </w:r>
    </w:p>
    <w:p w:rsidR="00D33F6A" w:rsidRPr="00D33F6A" w:rsidRDefault="00D33F6A" w:rsidP="00D33F6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Balázsi Csilla</w:t>
      </w:r>
    </w:p>
    <w:p w:rsidR="00D33F6A" w:rsidRPr="00D33F6A" w:rsidRDefault="00D33F6A" w:rsidP="00D33F6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  <w:proofErr w:type="gramStart"/>
      <w:r w:rsidRPr="00D33F6A">
        <w:rPr>
          <w:rFonts w:asciiTheme="majorHAnsi" w:eastAsia="Calibri" w:hAnsiTheme="majorHAnsi" w:cs="Times New Roman"/>
          <w:lang w:eastAsia="hu-HU"/>
        </w:rPr>
        <w:t>polgármester</w:t>
      </w:r>
      <w:proofErr w:type="gramEnd"/>
    </w:p>
    <w:p w:rsidR="00D33F6A" w:rsidRPr="00D33F6A" w:rsidRDefault="00D33F6A" w:rsidP="00D33F6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Theme="majorHAnsi" w:eastAsia="Calibri" w:hAnsiTheme="majorHAnsi" w:cs="Times New Roman"/>
          <w:lang w:eastAsia="hu-HU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pStyle w:val="Listaszerbekezds"/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  <w:lang w:eastAsia="en-US"/>
        </w:rPr>
      </w:pP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after="840" w:line="240" w:lineRule="auto"/>
        <w:jc w:val="right"/>
        <w:rPr>
          <w:rFonts w:ascii="Times New Roman" w:eastAsia="Calibri" w:hAnsi="Times New Roman" w:cs="Times New Roman"/>
          <w:i/>
          <w:sz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lang w:eastAsia="hu-HU"/>
        </w:rPr>
        <w:lastRenderedPageBreak/>
        <w:t>147</w:t>
      </w:r>
      <w:bookmarkStart w:id="0" w:name="_GoBack"/>
      <w:bookmarkEnd w:id="0"/>
      <w:r w:rsidRPr="00D33F6A">
        <w:rPr>
          <w:rFonts w:ascii="Times New Roman" w:eastAsia="Calibri" w:hAnsi="Times New Roman" w:cs="Times New Roman"/>
          <w:i/>
          <w:sz w:val="24"/>
          <w:lang w:eastAsia="hu-HU"/>
        </w:rPr>
        <w:t>/2026. (V.21.) Kt. számú határozat 2. melléklete</w:t>
      </w:r>
    </w:p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after="840" w:line="240" w:lineRule="auto"/>
        <w:jc w:val="both"/>
        <w:rPr>
          <w:rFonts w:asciiTheme="majorHAnsi" w:eastAsia="Calibri" w:hAnsiTheme="majorHAnsi" w:cs="Times New Roman"/>
          <w:i/>
          <w:lang w:eastAsia="hu-HU"/>
        </w:rPr>
      </w:pPr>
      <w:r w:rsidRPr="00D33F6A">
        <w:rPr>
          <w:rFonts w:asciiTheme="majorHAnsi" w:eastAsia="Calibri" w:hAnsiTheme="majorHAnsi" w:cs="Times New Roman"/>
          <w:lang w:eastAsia="hu-HU"/>
        </w:rPr>
        <w:t>Okirat száma: TPH/2598-</w:t>
      </w:r>
      <w:proofErr w:type="gramStart"/>
      <w:r w:rsidRPr="00D33F6A">
        <w:rPr>
          <w:rFonts w:asciiTheme="majorHAnsi" w:eastAsia="Calibri" w:hAnsiTheme="majorHAnsi" w:cs="Times New Roman"/>
          <w:lang w:eastAsia="hu-HU"/>
        </w:rPr>
        <w:t>…   /</w:t>
      </w:r>
      <w:proofErr w:type="gramEnd"/>
      <w:r w:rsidRPr="00D33F6A">
        <w:rPr>
          <w:rFonts w:asciiTheme="majorHAnsi" w:eastAsia="Calibri" w:hAnsiTheme="majorHAnsi" w:cs="Times New Roman"/>
          <w:lang w:eastAsia="hu-HU"/>
        </w:rPr>
        <w:t>2026.</w:t>
      </w:r>
    </w:p>
    <w:p w:rsidR="00D33F6A" w:rsidRPr="00D33F6A" w:rsidRDefault="00D33F6A" w:rsidP="00D33F6A">
      <w:pPr>
        <w:tabs>
          <w:tab w:val="left" w:leader="dot" w:pos="9072"/>
        </w:tabs>
        <w:spacing w:before="480" w:after="48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hu-HU"/>
        </w:rPr>
      </w:pPr>
      <w:r w:rsidRPr="00D33F6A">
        <w:rPr>
          <w:rFonts w:asciiTheme="majorHAnsi" w:eastAsia="Times New Roman" w:hAnsiTheme="majorHAnsi" w:cs="Times New Roman"/>
          <w:sz w:val="40"/>
          <w:szCs w:val="24"/>
          <w:lang w:eastAsia="hu-HU"/>
        </w:rPr>
        <w:t>Alapító okirat</w:t>
      </w:r>
      <w:r w:rsidRPr="00D33F6A">
        <w:rPr>
          <w:rFonts w:asciiTheme="majorHAnsi" w:eastAsia="Times New Roman" w:hAnsiTheme="majorHAnsi" w:cs="Times New Roman"/>
          <w:sz w:val="40"/>
          <w:szCs w:val="24"/>
          <w:lang w:eastAsia="hu-HU"/>
        </w:rPr>
        <w:br/>
      </w:r>
      <w:r w:rsidRPr="00D33F6A">
        <w:rPr>
          <w:rFonts w:asciiTheme="majorHAnsi" w:eastAsia="Times New Roman" w:hAnsiTheme="majorHAnsi" w:cs="Times New Roman"/>
          <w:sz w:val="28"/>
          <w:szCs w:val="28"/>
          <w:lang w:eastAsia="hu-HU"/>
        </w:rPr>
        <w:t>módosításokkal egységes szerkezetbe foglalva</w:t>
      </w:r>
    </w:p>
    <w:p w:rsidR="00D33F6A" w:rsidRPr="00D33F6A" w:rsidRDefault="00D33F6A" w:rsidP="00D33F6A">
      <w:pPr>
        <w:tabs>
          <w:tab w:val="left" w:leader="dot" w:pos="9072"/>
        </w:tabs>
        <w:spacing w:after="240" w:line="240" w:lineRule="auto"/>
        <w:jc w:val="both"/>
        <w:rPr>
          <w:rFonts w:asciiTheme="majorHAnsi" w:eastAsia="Times New Roman" w:hAnsiTheme="majorHAnsi" w:cs="Times New Roman"/>
          <w:b/>
          <w:lang w:eastAsia="hu-HU"/>
        </w:rPr>
      </w:pPr>
      <w:r w:rsidRPr="00D33F6A">
        <w:rPr>
          <w:rFonts w:asciiTheme="majorHAnsi" w:eastAsia="Times New Roman" w:hAnsiTheme="majorHAnsi" w:cs="Times New Roman"/>
          <w:b/>
          <w:lang w:eastAsia="hu-HU"/>
        </w:rPr>
        <w:t>Az államháztartásról szóló 2011. évi CXCV. törvény 8/</w:t>
      </w:r>
      <w:proofErr w:type="gramStart"/>
      <w:r w:rsidRPr="00D33F6A">
        <w:rPr>
          <w:rFonts w:asciiTheme="majorHAnsi" w:eastAsia="Times New Roman" w:hAnsiTheme="majorHAnsi" w:cs="Times New Roman"/>
          <w:b/>
          <w:lang w:eastAsia="hu-HU"/>
        </w:rPr>
        <w:t>A</w:t>
      </w:r>
      <w:proofErr w:type="gramEnd"/>
      <w:r w:rsidRPr="00D33F6A">
        <w:rPr>
          <w:rFonts w:asciiTheme="majorHAnsi" w:eastAsia="Times New Roman" w:hAnsiTheme="majorHAnsi" w:cs="Times New Roman"/>
          <w:b/>
          <w:lang w:eastAsia="hu-HU"/>
        </w:rPr>
        <w:t>. §</w:t>
      </w:r>
      <w:proofErr w:type="spellStart"/>
      <w:r w:rsidRPr="00D33F6A">
        <w:rPr>
          <w:rFonts w:asciiTheme="majorHAnsi" w:eastAsia="Times New Roman" w:hAnsiTheme="majorHAnsi" w:cs="Times New Roman"/>
          <w:b/>
          <w:lang w:eastAsia="hu-HU"/>
        </w:rPr>
        <w:t>-</w:t>
      </w:r>
      <w:proofErr w:type="gramStart"/>
      <w:r w:rsidRPr="00D33F6A">
        <w:rPr>
          <w:rFonts w:asciiTheme="majorHAnsi" w:eastAsia="Times New Roman" w:hAnsiTheme="majorHAnsi" w:cs="Times New Roman"/>
          <w:b/>
          <w:lang w:eastAsia="hu-HU"/>
        </w:rPr>
        <w:t>a</w:t>
      </w:r>
      <w:proofErr w:type="spellEnd"/>
      <w:proofErr w:type="gramEnd"/>
      <w:r w:rsidRPr="00D33F6A">
        <w:rPr>
          <w:rFonts w:asciiTheme="majorHAnsi" w:eastAsia="Times New Roman" w:hAnsiTheme="majorHAnsi" w:cs="Times New Roman"/>
          <w:b/>
          <w:lang w:eastAsia="hu-HU"/>
        </w:rPr>
        <w:t xml:space="preserve"> alapján a(z) </w:t>
      </w:r>
      <w:proofErr w:type="spellStart"/>
      <w:r w:rsidRPr="00D33F6A">
        <w:rPr>
          <w:rFonts w:asciiTheme="majorHAnsi" w:eastAsia="Times New Roman" w:hAnsiTheme="majorHAnsi" w:cs="Times New Roman"/>
          <w:b/>
          <w:lang w:eastAsia="hu-HU"/>
        </w:rPr>
        <w:t>Kornisné</w:t>
      </w:r>
      <w:proofErr w:type="spellEnd"/>
      <w:r w:rsidRPr="00D33F6A">
        <w:rPr>
          <w:rFonts w:asciiTheme="majorHAnsi" w:eastAsia="Times New Roman" w:hAnsiTheme="majorHAnsi" w:cs="Times New Roman"/>
          <w:b/>
          <w:lang w:eastAsia="hu-HU"/>
        </w:rPr>
        <w:t xml:space="preserve"> </w:t>
      </w:r>
      <w:proofErr w:type="spellStart"/>
      <w:r w:rsidRPr="00D33F6A">
        <w:rPr>
          <w:rFonts w:asciiTheme="majorHAnsi" w:eastAsia="Times New Roman" w:hAnsiTheme="majorHAnsi" w:cs="Times New Roman"/>
          <w:b/>
          <w:lang w:eastAsia="hu-HU"/>
        </w:rPr>
        <w:t>Liptay</w:t>
      </w:r>
      <w:proofErr w:type="spellEnd"/>
      <w:r w:rsidRPr="00D33F6A">
        <w:rPr>
          <w:rFonts w:asciiTheme="majorHAnsi" w:eastAsia="Times New Roman" w:hAnsiTheme="majorHAnsi" w:cs="Times New Roman"/>
          <w:b/>
          <w:lang w:eastAsia="hu-HU"/>
        </w:rPr>
        <w:t xml:space="preserve"> Elza Szociális és Gyermekjóléti Központ alapító okiratát a következők szerint adom ki:</w:t>
      </w:r>
    </w:p>
    <w:p w:rsidR="00D33F6A" w:rsidRPr="00D33F6A" w:rsidRDefault="00D33F6A" w:rsidP="00D33F6A">
      <w:pPr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megnevezése, székhelye, telephelye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megnevezése: </w:t>
      </w:r>
      <w:proofErr w:type="spellStart"/>
      <w:r w:rsidRPr="00D33F6A">
        <w:rPr>
          <w:rFonts w:asciiTheme="majorHAnsi" w:eastAsia="Times New Roman" w:hAnsiTheme="majorHAnsi" w:cs="Times New Roman"/>
          <w:lang w:eastAsia="hu-HU"/>
        </w:rPr>
        <w:t>Kornisné</w:t>
      </w:r>
      <w:proofErr w:type="spellEnd"/>
      <w:r w:rsidRPr="00D33F6A">
        <w:rPr>
          <w:rFonts w:asciiTheme="majorHAnsi" w:eastAsia="Times New Roman" w:hAnsiTheme="majorHAnsi" w:cs="Times New Roman"/>
          <w:lang w:eastAsia="hu-HU"/>
        </w:rPr>
        <w:t xml:space="preserve"> </w:t>
      </w:r>
      <w:proofErr w:type="spellStart"/>
      <w:r w:rsidRPr="00D33F6A">
        <w:rPr>
          <w:rFonts w:asciiTheme="majorHAnsi" w:eastAsia="Times New Roman" w:hAnsiTheme="majorHAnsi" w:cs="Times New Roman"/>
          <w:lang w:eastAsia="hu-HU"/>
        </w:rPr>
        <w:t>Liptay</w:t>
      </w:r>
      <w:proofErr w:type="spellEnd"/>
      <w:r w:rsidRPr="00D33F6A">
        <w:rPr>
          <w:rFonts w:asciiTheme="majorHAnsi" w:eastAsia="Times New Roman" w:hAnsiTheme="majorHAnsi" w:cs="Times New Roman"/>
          <w:lang w:eastAsia="hu-HU"/>
        </w:rPr>
        <w:t xml:space="preserve"> Elza Szociális és Gyermekjóléti Központ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rövidített neve: </w:t>
      </w:r>
      <w:proofErr w:type="spellStart"/>
      <w:r w:rsidRPr="00D33F6A">
        <w:rPr>
          <w:rFonts w:asciiTheme="majorHAnsi" w:eastAsia="Times New Roman" w:hAnsiTheme="majorHAnsi" w:cs="Times New Roman"/>
          <w:lang w:eastAsia="hu-HU"/>
        </w:rPr>
        <w:t>Kornisné</w:t>
      </w:r>
      <w:proofErr w:type="spellEnd"/>
      <w:r w:rsidRPr="00D33F6A">
        <w:rPr>
          <w:rFonts w:asciiTheme="majorHAnsi" w:eastAsia="Times New Roman" w:hAnsiTheme="majorHAnsi" w:cs="Times New Roman"/>
          <w:lang w:eastAsia="hu-HU"/>
        </w:rPr>
        <w:t xml:space="preserve"> Központ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székhelye: 4440 Tiszavasvári, Vasvári Pál utca 87.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12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proofErr w:type="gramStart"/>
      <w:r w:rsidRPr="00D33F6A">
        <w:rPr>
          <w:rFonts w:asciiTheme="majorHAnsi" w:eastAsia="Times New Roman" w:hAnsiTheme="majorHAnsi" w:cs="Times New Roman"/>
          <w:lang w:eastAsia="hu-HU"/>
        </w:rPr>
        <w:t>telephelye(</w:t>
      </w:r>
      <w:proofErr w:type="gramEnd"/>
      <w:r w:rsidRPr="00D33F6A">
        <w:rPr>
          <w:rFonts w:asciiTheme="majorHAnsi" w:eastAsia="Times New Roman" w:hAnsiTheme="majorHAnsi" w:cs="Times New Roman"/>
          <w:lang w:eastAsia="hu-HU"/>
        </w:rPr>
        <w:t>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709"/>
      </w:tblGrid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telephely címe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bCs/>
                <w:sz w:val="22"/>
                <w:szCs w:val="22"/>
              </w:rPr>
              <w:t xml:space="preserve"> gyógyító szakellátása, vérvételi hely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21.</w:t>
            </w:r>
          </w:p>
        </w:tc>
      </w:tr>
      <w:tr w:rsidR="00D33F6A" w:rsidRPr="00D33F6A" w:rsidTr="000769BF">
        <w:trPr>
          <w:trHeight w:val="909"/>
        </w:trPr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Étkeztetés, idősek nappali ellátása, család-és gyermekjóléti szolgálat, család-és gyermekjóléti központ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</w:p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4440 Tiszavasvári, </w:t>
            </w: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Kabay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János utca 23.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Fizikoterápiás szolgáltatás és ellátás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Házi segítségnyújtás, jelzőrendszeres házi segítségnyújtás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proofErr w:type="spell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Járóbetegek</w:t>
            </w:r>
            <w:proofErr w:type="spell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gyógyító szakellátása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6.</w:t>
            </w:r>
          </w:p>
        </w:tc>
      </w:tr>
      <w:tr w:rsidR="00D33F6A" w:rsidRPr="00D33F6A" w:rsidTr="000769BF">
        <w:tc>
          <w:tcPr>
            <w:tcW w:w="534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6. </w:t>
            </w:r>
          </w:p>
        </w:tc>
        <w:tc>
          <w:tcPr>
            <w:tcW w:w="396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Mesevilág Biztos Kezdet Gyerekház</w:t>
            </w:r>
          </w:p>
        </w:tc>
        <w:tc>
          <w:tcPr>
            <w:tcW w:w="4709" w:type="dxa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D33F6A">
              <w:rPr>
                <w:rFonts w:asciiTheme="majorHAnsi" w:eastAsia="Calibri" w:hAnsiTheme="majorHAnsi"/>
                <w:sz w:val="22"/>
                <w:szCs w:val="22"/>
              </w:rPr>
              <w:t>4440 Tiszavasvári, Vasvári Pál utca 93/</w:t>
            </w:r>
            <w:proofErr w:type="gramStart"/>
            <w:r w:rsidRPr="00D33F6A">
              <w:rPr>
                <w:rFonts w:asciiTheme="majorHAnsi" w:eastAsia="Calibri" w:hAnsiTheme="majorHAnsi"/>
                <w:sz w:val="22"/>
                <w:szCs w:val="22"/>
              </w:rPr>
              <w:t>A</w:t>
            </w:r>
            <w:proofErr w:type="gramEnd"/>
            <w:r w:rsidRPr="00D33F6A">
              <w:rPr>
                <w:rFonts w:asciiTheme="majorHAnsi" w:eastAsia="Calibri" w:hAnsiTheme="majorHAnsi"/>
                <w:sz w:val="22"/>
                <w:szCs w:val="22"/>
              </w:rPr>
              <w:t xml:space="preserve"> 2. ajtó</w:t>
            </w:r>
          </w:p>
        </w:tc>
      </w:tr>
    </w:tbl>
    <w:p w:rsidR="00D33F6A" w:rsidRPr="00D33F6A" w:rsidRDefault="00D33F6A" w:rsidP="00D33F6A">
      <w:pPr>
        <w:tabs>
          <w:tab w:val="left" w:leader="dot" w:pos="9072"/>
        </w:tabs>
        <w:spacing w:before="80" w:after="12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33F6A" w:rsidRPr="00D33F6A" w:rsidRDefault="00D33F6A" w:rsidP="00D33F6A">
      <w:pPr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alapításának dátuma: 2013. július 1.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lastRenderedPageBreak/>
        <w:t>A költségvetési szerv alapítására, átalakítására, megszüntetésére jogosult szerv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megnevezése: Tiszavasvári Város Önkormányzata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33F6A" w:rsidRPr="00D33F6A" w:rsidRDefault="00D33F6A" w:rsidP="00D33F6A">
      <w:pPr>
        <w:tabs>
          <w:tab w:val="left" w:leader="dot" w:pos="9072"/>
        </w:tabs>
        <w:spacing w:before="8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jogelőd költségvetési szervének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397"/>
        <w:gridCol w:w="4217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2367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székhelye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2367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Tiszavasvári Többcélú Kistérségi Társulás Tiszavasvári Szociális és Egészségügyi Szolgáltató Központja</w:t>
            </w:r>
          </w:p>
        </w:tc>
        <w:tc>
          <w:tcPr>
            <w:tcW w:w="2270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4440 Tiszavasvári, Vasvári Pál utca 87.</w:t>
            </w:r>
          </w:p>
        </w:tc>
      </w:tr>
    </w:tbl>
    <w:p w:rsidR="00D33F6A" w:rsidRPr="00D33F6A" w:rsidRDefault="00D33F6A" w:rsidP="00D33F6A">
      <w:pPr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irányítása, felügyelete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A költségvetési </w:t>
      </w:r>
      <w:proofErr w:type="gramStart"/>
      <w:r w:rsidRPr="00D33F6A">
        <w:rPr>
          <w:rFonts w:asciiTheme="majorHAnsi" w:eastAsia="Times New Roman" w:hAnsiTheme="majorHAnsi" w:cs="Times New Roman"/>
          <w:lang w:eastAsia="hu-HU"/>
        </w:rPr>
        <w:t>szerv irányító</w:t>
      </w:r>
      <w:proofErr w:type="gramEnd"/>
      <w:r w:rsidRPr="00D33F6A">
        <w:rPr>
          <w:rFonts w:asciiTheme="majorHAnsi" w:eastAsia="Times New Roman" w:hAnsiTheme="majorHAnsi" w:cs="Times New Roman"/>
          <w:lang w:eastAsia="hu-HU"/>
        </w:rPr>
        <w:t xml:space="preserve"> szervének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megnevezése: Tiszavasvári Város Önkormányzata Képviselő-testülete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fenntartójának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 megnevezése: Tiszavasvári Város Önkormányzata</w:t>
      </w:r>
    </w:p>
    <w:p w:rsidR="00D33F6A" w:rsidRPr="00D33F6A" w:rsidRDefault="00D33F6A" w:rsidP="00D33F6A">
      <w:pPr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székhelye: 4440 Tiszavasvári, Városháza tér 4.</w:t>
      </w:r>
    </w:p>
    <w:p w:rsidR="00D33F6A" w:rsidRPr="00D33F6A" w:rsidRDefault="00D33F6A" w:rsidP="00D33F6A">
      <w:pPr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tevékenysége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közfeladata: Az intézmény szakmai programjában meghatározott szociális-, és gyermekvédelmi alapellátások. Magyarország helyi önkormányzatairól szóló 2011. évi CLXXXIX. törvény rendelkezései alapján ellátott feladat.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6"/>
        <w:gridCol w:w="6347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220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szakágazat megnevezése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220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873000</w:t>
            </w:r>
          </w:p>
        </w:tc>
        <w:tc>
          <w:tcPr>
            <w:tcW w:w="3416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Idősek, testi fogyatékossággal élők bentlakásos ellátása</w:t>
            </w:r>
          </w:p>
        </w:tc>
      </w:tr>
    </w:tbl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A költségvetési szerv alaptevékenysége: 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4.3.1 Szociális alapellátások: Étkeztetés, nappali ellátás, házi segítségnyújtás, jelzőrendszeres házi segítségnyújtás, támogató szolgálat, idősek-, fogyatékos személyek otthona,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4.3.1.1 Étkeztetés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Feladata: A szociálisan rászorultaknak a legalább napi egyszeri meleg étkeztetés biztosítása, amennyiben önmaguknak, illetve önmaguk és eltartottjaik részére tartósan, vagy átmeneti jelleggel nem képesek azt biztosítani.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4.3.1.2 Házi segítségnyújtás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Feladata: a szolgáltatást igénybe vevő személy saját lakókörnyezetében kell biztosítani az önálló életvitel fenntartása érdekében szükséges ellátást.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4.3.1.3 Jelzőrendszeres házi segítségnyújtás 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lastRenderedPageBreak/>
        <w:t>Feladata: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4.3.1.4 Támogató szolgáltatás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Feladata: A fogyatékos személyek lakókörnyezetben történő ellátása, elsősorban a lakáson kívüli közszolgáltatások elérésének segítése, valamint életvitelük önállóságának megőrzése mellett a lakáson belüli speciális segítségnyújtás biztosítása révén.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4.3.1.5 Nappali ellátás – Idősek klubja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Feladata: A hajléktalan személyek és, elsősorban a saját otthonukban élő, tizennyolcadik életévüket betöltött, egészségi állapotuk vagy idős koruk miatt szociális és mentális támogatásra szoruló, önmaguk ellátására részben képes személyek részére biztosít lehetőséget a napközbeni tartózkodásra, társas kapcsolatokra, valamint az alapvető higiéniai szükségleteik kielégítésére, továbbá igény szerint megszervezi az ellátottak napközbeni étkeztetését.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4.3.2 Szociális intézményi ellátás: Ápolást, gondozást nyújtó intézmény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4.3.2.1 Fogyatékos ápoló-gondozó otthoni ellátás (székhelyen végzett tevékenység)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4.3.2.2 Idősek ápoló-gondozó otthoni ellátás (székhelyen végzett tevékenység)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4.3.2.3 Egészségügyi ápolás bentlakással: az egészségi állapot javítását, az egészség megőrzését és helyreállítását, a beteg állapotának stabilizálását, a betegségek megelőzését, a szenvedések enyhítését, a beteg környezetének az ápolási feladatokban történő részvételre való felkészítését szolgáló egészségügyi ápolási, gondozási feladatokkal összefüggő feladatok ellátása.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4.3.2.4 Bentlakásos, nem kórházi ellátás, ápolás: az idősek otthonában ápolással, az utógondozással, lábadozó beteg intézeti ápolásával, szeretetotthoni ellátással, ápolással, bentlakásos ápolással összefüggő feladatok ellátása.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4.3.2.5 </w:t>
      </w:r>
      <w:proofErr w:type="spellStart"/>
      <w:r w:rsidRPr="00D33F6A">
        <w:rPr>
          <w:rFonts w:asciiTheme="majorHAnsi" w:eastAsia="Times New Roman" w:hAnsiTheme="majorHAnsi" w:cs="Times New Roman"/>
          <w:lang w:eastAsia="hu-HU"/>
        </w:rPr>
        <w:t>Demens</w:t>
      </w:r>
      <w:proofErr w:type="spellEnd"/>
      <w:r w:rsidRPr="00D33F6A">
        <w:rPr>
          <w:rFonts w:asciiTheme="majorHAnsi" w:eastAsia="Times New Roman" w:hAnsiTheme="majorHAnsi" w:cs="Times New Roman"/>
          <w:lang w:eastAsia="hu-HU"/>
        </w:rPr>
        <w:t xml:space="preserve"> betegek tartós bentlakásos ellátása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4.3.3 Gyermekvédelmi alapellátások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4.3.3.1 Család- és gyermekjóléti központ: Család- és gyermekjóléti központnak az a járásszékhely településen működő gyermekjóléti szolgálat minősül, amely önálló intézményként, illetve szervezeti és szakmai szempontból önálló intézményegységként működik. A gyermekjóléti központ a gyermekjóléti szolgálatnak a gyermekek védelméről és a gyámügyi igazgatásról szóló 1997. évi XXXI. törvény (Gyvt.) 39. §, a 40. § (2) bekezdése és a szociális igazgatásról és a szociális ellátásról szóló 1993. évi III. törvény (Szt.) 64. § (4) bekezdése szerinti általános szolgáltatási feladatain túl a gyermek családban nevelkedésének elősegítése, a gyermek veszélyeztetettségének megelőzése érdekében a gyermek igényeinek és szükségleteinek megfelelő önálló egyéni és csoportos speciális szolgáltatásokat, programokat nyújt; a gyermekvédelmi gondoskodás keretébe tartozó hatósági intézkedésekhez kapcsolódó, a gyermekek védelmére irányuló tevékenységet lát el; szakmai támogatást nyújt az ellátási területén működő gyermekjóléti szolgálatok számára.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4.3.3.2 Család- és gyermekjóléti szolgálat: Gyermekjóléti szolgáltatás a családsegítéssel egy szolgáltató – a család- és gyermekjóléti szolgálat keretében működtethető. A gyermekjóléti szolgálat ellátja a Gyvt. 39. § és a (2) bekezdés szerinti gyermekjóléti szolgáltatási feladatokat, valamint a családsegítés Szt. 64. § (4) bekezdése szerinti feladatait.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4.3.4 Településfejlesztési projektek és támogatásuk, pályázatok megvalósítása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4.3.5 Gyermekek napközbeni ellátása családi bölcsőde, munkahelyi bölcsőde, napközbeni gyermekfelügyelet vagy alternatív napközbeni ellátás útján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4.3.6 Falugondnoki, tanyagondnoki szolgáltatás</w:t>
      </w:r>
    </w:p>
    <w:p w:rsidR="00D33F6A" w:rsidRPr="00D33F6A" w:rsidRDefault="00D33F6A" w:rsidP="00D33F6A">
      <w:pPr>
        <w:tabs>
          <w:tab w:val="left" w:leader="do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061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 xml:space="preserve">kormányzati </w:t>
            </w:r>
            <w:r w:rsidRPr="00D33F6A">
              <w:rPr>
                <w:rFonts w:asciiTheme="majorHAnsi" w:hAnsiTheme="majorHAnsi"/>
                <w:lang w:eastAsia="hu-HU"/>
              </w:rPr>
              <w:lastRenderedPageBreak/>
              <w:t>funkciószám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lastRenderedPageBreak/>
              <w:t>kormányzati funkció megnevezése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lastRenderedPageBreak/>
              <w:t>1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062020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Településfejlesztési projektek és támogatásuk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072210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Járóbetegek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gyógyító szakellátása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Otthoni (egészségügyi) szakápolás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4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072450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Fizikoterápiás szolgáltatás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5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073410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Egészségügyi ápolás bentlakással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 xml:space="preserve">6. 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074032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proofErr w:type="gramStart"/>
            <w:r w:rsidRPr="00D33F6A">
              <w:rPr>
                <w:rFonts w:asciiTheme="majorHAnsi" w:hAnsiTheme="majorHAnsi"/>
              </w:rPr>
              <w:t>Ifjúság-egészségügyi gondozás</w:t>
            </w:r>
            <w:proofErr w:type="gramEnd"/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092270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Szakképző iskolai tanulók szakmai gyakorlati oktatásával összefüggő működtetési feladatok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101110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Bentlakásos, nem kórházi ellátás, ápolás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101211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Fogyatékossággal élők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101222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Támogató szolgáltatás fogyatékos személyek részére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11.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Időskorúak tartós bentlakásos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12.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102024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proofErr w:type="spellStart"/>
            <w:r w:rsidRPr="00D33F6A">
              <w:rPr>
                <w:rFonts w:asciiTheme="majorHAnsi" w:hAnsiTheme="majorHAnsi"/>
                <w:lang w:eastAsia="hu-HU"/>
              </w:rPr>
              <w:t>Demens</w:t>
            </w:r>
            <w:proofErr w:type="spellEnd"/>
            <w:r w:rsidRPr="00D33F6A">
              <w:rPr>
                <w:rFonts w:asciiTheme="majorHAnsi" w:hAnsiTheme="majorHAnsi"/>
                <w:lang w:eastAsia="hu-HU"/>
              </w:rPr>
              <w:t xml:space="preserve"> betegek tartós bentlakásos ellátása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102031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Idősek nappali ellátása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14.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104030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15.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szolgáltatások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16.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Család és gyermekjóléti központ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17.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104044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Biztos Kezdet Gyerekház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18.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107051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Szociális étkeztetés szociális konyhán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19.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107052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Házi segítségnyújtás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20.</w:t>
            </w:r>
          </w:p>
        </w:tc>
        <w:tc>
          <w:tcPr>
            <w:tcW w:w="137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107053</w:t>
            </w:r>
          </w:p>
        </w:tc>
        <w:tc>
          <w:tcPr>
            <w:tcW w:w="32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Jelzőrendszeres házi segítségnyújtás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21.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107055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Falugondnoki, tanyagondnoki szolgáltatás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22.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107090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</w:rPr>
              <w:t>Romák társadalmi integrációját elősegítő tevékenységek, programok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23.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869500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rPr>
                <w:rFonts w:asciiTheme="majorHAnsi" w:eastAsia="Calibri" w:hAnsiTheme="majorHAnsi"/>
              </w:rPr>
            </w:pPr>
            <w:r w:rsidRPr="00D33F6A">
              <w:rPr>
                <w:rFonts w:asciiTheme="majorHAnsi" w:hAnsiTheme="majorHAnsi"/>
              </w:rPr>
              <w:t xml:space="preserve">Fizioterápiás ellátás </w:t>
            </w:r>
          </w:p>
        </w:tc>
      </w:tr>
      <w:tr w:rsidR="00D33F6A" w:rsidRPr="00D33F6A" w:rsidTr="000769BF">
        <w:tblPrEx>
          <w:jc w:val="left"/>
        </w:tblPrEx>
        <w:tc>
          <w:tcPr>
            <w:tcW w:w="363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24.</w:t>
            </w:r>
          </w:p>
        </w:tc>
        <w:tc>
          <w:tcPr>
            <w:tcW w:w="1374" w:type="pct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869900</w:t>
            </w:r>
          </w:p>
        </w:tc>
        <w:tc>
          <w:tcPr>
            <w:tcW w:w="3263" w:type="pct"/>
          </w:tcPr>
          <w:p w:rsidR="00D33F6A" w:rsidRPr="00D33F6A" w:rsidRDefault="00D33F6A" w:rsidP="000769BF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D33F6A">
              <w:rPr>
                <w:rFonts w:ascii="Times New Roman" w:hAnsi="Times New Roman"/>
                <w:sz w:val="24"/>
                <w:szCs w:val="24"/>
              </w:rPr>
              <w:t>M.n.s</w:t>
            </w:r>
            <w:proofErr w:type="spellEnd"/>
            <w:r w:rsidRPr="00D33F6A">
              <w:rPr>
                <w:rFonts w:ascii="Times New Roman" w:hAnsi="Times New Roman"/>
                <w:sz w:val="24"/>
                <w:szCs w:val="24"/>
              </w:rPr>
              <w:t xml:space="preserve">. egyéb </w:t>
            </w:r>
            <w:proofErr w:type="spellStart"/>
            <w:r w:rsidRPr="00D33F6A">
              <w:rPr>
                <w:rFonts w:ascii="Times New Roman" w:hAnsi="Times New Roman"/>
                <w:sz w:val="24"/>
                <w:szCs w:val="24"/>
              </w:rPr>
              <w:t>humánegészségügyi</w:t>
            </w:r>
            <w:proofErr w:type="spellEnd"/>
            <w:r w:rsidRPr="00D33F6A">
              <w:rPr>
                <w:rFonts w:ascii="Times New Roman" w:hAnsi="Times New Roman"/>
                <w:sz w:val="24"/>
                <w:szCs w:val="24"/>
              </w:rPr>
              <w:t xml:space="preserve"> ellátás</w:t>
            </w:r>
          </w:p>
        </w:tc>
      </w:tr>
    </w:tbl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 xml:space="preserve">A költségvetési szerv illetékessége, működési területe: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étkeztetés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 xml:space="preserve">nappali ellátás (idősek klubja)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Család- és Gyermekjóléti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Család- és Gyermekjóléti Központ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Járáshoz tartozó települések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házi segítségnyújtás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Város, Szorgalmatos Község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jelzőrendszeres házi segítségnyújtás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 Város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lastRenderedPageBreak/>
              <w:t>támogató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240"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Tiszavasvári-, Tiszalök városok, és Szorgalmatos-, Tiszadada-, Tiszadob községek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 xml:space="preserve">idősek -, </w:t>
            </w:r>
            <w:proofErr w:type="spellStart"/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demensek</w:t>
            </w:r>
            <w:proofErr w:type="spellEnd"/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, fogyatékkal élő személyek bentlakásos ellátása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</w:p>
          <w:p w:rsidR="00D33F6A" w:rsidRPr="00D33F6A" w:rsidRDefault="00D33F6A" w:rsidP="000769BF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after="0" w:line="240" w:lineRule="auto"/>
              <w:jc w:val="both"/>
              <w:rPr>
                <w:rFonts w:asciiTheme="majorHAnsi" w:eastAsia="Calibri" w:hAnsiTheme="majorHAnsi" w:cs="Cambria"/>
                <w:bCs/>
                <w:lang w:eastAsia="hu-HU"/>
              </w:rPr>
            </w:pPr>
            <w:r w:rsidRPr="00D33F6A">
              <w:rPr>
                <w:rFonts w:asciiTheme="majorHAnsi" w:eastAsia="Calibri" w:hAnsiTheme="majorHAnsi" w:cs="Cambria"/>
                <w:bCs/>
                <w:lang w:eastAsia="hu-HU"/>
              </w:rPr>
              <w:t>Magyarország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  <w:contextualSpacing w:val="0"/>
              <w:rPr>
                <w:bCs/>
              </w:rPr>
            </w:pPr>
            <w:r w:rsidRPr="00D33F6A">
              <w:rPr>
                <w:bCs/>
              </w:rPr>
              <w:t>tanyagondnoki szolgálat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  <w:contextualSpacing w:val="0"/>
              <w:rPr>
                <w:bCs/>
              </w:rPr>
            </w:pPr>
            <w:r w:rsidRPr="00D33F6A">
              <w:rPr>
                <w:bCs/>
              </w:rPr>
              <w:t xml:space="preserve">Tiszavasvári-, </w:t>
            </w:r>
            <w:proofErr w:type="spellStart"/>
            <w:r w:rsidRPr="00D33F6A">
              <w:rPr>
                <w:bCs/>
              </w:rPr>
              <w:t>Józsefháza</w:t>
            </w:r>
            <w:proofErr w:type="spellEnd"/>
            <w:r w:rsidRPr="00D33F6A">
              <w:rPr>
                <w:bCs/>
              </w:rPr>
              <w:t xml:space="preserve"> településrész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Biztos Kezdet Gyerekház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Tiszavasvári Város közigazgatási területe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Gyógytorna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</w:t>
            </w:r>
          </w:p>
        </w:tc>
      </w:tr>
      <w:tr w:rsidR="00D33F6A" w:rsidRPr="00D33F6A" w:rsidTr="000769B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pStyle w:val="Listaszerbekezds"/>
              <w:ind w:left="0"/>
            </w:pPr>
            <w:r w:rsidRPr="00D33F6A">
              <w:t>Fizikoterápia/fizioterápia ellátás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6A" w:rsidRPr="00D33F6A" w:rsidRDefault="00D33F6A" w:rsidP="000769BF">
            <w:pPr>
              <w:jc w:val="both"/>
              <w:rPr>
                <w:rFonts w:asciiTheme="majorHAnsi" w:hAnsiTheme="majorHAnsi"/>
              </w:rPr>
            </w:pPr>
            <w:r w:rsidRPr="00D33F6A">
              <w:rPr>
                <w:rFonts w:asciiTheme="majorHAnsi" w:hAnsiTheme="majorHAnsi"/>
              </w:rPr>
              <w:t>Tiszavasvári, Tiszadada, Tiszaeszlár, Szorgalmatos, Tiszalök, Tiszadob</w:t>
            </w:r>
          </w:p>
        </w:tc>
      </w:tr>
    </w:tbl>
    <w:p w:rsidR="00D33F6A" w:rsidRPr="00D33F6A" w:rsidRDefault="00D33F6A" w:rsidP="00D33F6A">
      <w:pPr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D33F6A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szervezete és működése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 vezetőjének megbízási rendje: A vezetőt nyilvános pályázat alapján Tiszavasvári Város Önkormányzata Képviselő-testülete bízza meg 5 év határozott időre, és gyakorolja a munkáltatói jogokat (kinevezés, jogviszony megszüntetése, fegyelmi eljárás). Az egyéb munkáltatói jogokat Magyarország helyi önkormányzatairól szóló 2011. évi CLXXXIX. törvény által biztosított hatáskörben Tiszavasvári Város Polgármestere gyakorolja. A vezető foglalkoztatási jogviszonyára a közalkalmazottak jogállásáról szóló 1992. évi XXXIII. törvény rendelkezései az irányadók, azaz határozatlan idejű közalkalmazottként történő foglalkoztatása mellett határozott idejű megbízottként látja el a vezetői feladatokat.</w:t>
      </w:r>
    </w:p>
    <w:p w:rsidR="00D33F6A" w:rsidRPr="00D33F6A" w:rsidRDefault="00D33F6A" w:rsidP="00D33F6A">
      <w:pPr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jc w:val="both"/>
        <w:rPr>
          <w:rFonts w:asciiTheme="majorHAnsi" w:eastAsia="Times New Roman" w:hAnsiTheme="majorHAnsi" w:cs="Times New Roman"/>
          <w:lang w:eastAsia="hu-HU"/>
        </w:rPr>
      </w:pPr>
      <w:r w:rsidRPr="00D33F6A">
        <w:rPr>
          <w:rFonts w:asciiTheme="majorHAnsi" w:eastAsia="Times New Roman" w:hAnsiTheme="majorHAnsi" w:cs="Times New Roman"/>
          <w:lang w:eastAsia="hu-HU"/>
        </w:rPr>
        <w:t>A költségvetési szervnél alkalmazásban álló személyek jogviszonya: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2978"/>
        <w:gridCol w:w="5636"/>
      </w:tblGrid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160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jogviszonyt szabályozó jogszabály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1</w:t>
            </w:r>
          </w:p>
        </w:tc>
        <w:tc>
          <w:tcPr>
            <w:tcW w:w="160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a közalkalmazottak jogállásáról szóló 1992. évi XXXIII. törvény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2</w:t>
            </w:r>
          </w:p>
        </w:tc>
        <w:tc>
          <w:tcPr>
            <w:tcW w:w="160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munkaviszony</w:t>
            </w:r>
          </w:p>
        </w:tc>
        <w:tc>
          <w:tcPr>
            <w:tcW w:w="303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A Munka törvénykönyvéről szóló 2012. évi I. törvény</w:t>
            </w:r>
          </w:p>
        </w:tc>
      </w:tr>
      <w:tr w:rsidR="00D33F6A" w:rsidRPr="00D33F6A" w:rsidTr="000769BF">
        <w:trPr>
          <w:jc w:val="center"/>
        </w:trPr>
        <w:tc>
          <w:tcPr>
            <w:tcW w:w="36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jc w:val="center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3</w:t>
            </w:r>
          </w:p>
        </w:tc>
        <w:tc>
          <w:tcPr>
            <w:tcW w:w="1603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egészségügyi szolgálati jogviszony</w:t>
            </w:r>
          </w:p>
        </w:tc>
        <w:tc>
          <w:tcPr>
            <w:tcW w:w="3034" w:type="pct"/>
            <w:vAlign w:val="center"/>
          </w:tcPr>
          <w:p w:rsidR="00D33F6A" w:rsidRPr="00D33F6A" w:rsidRDefault="00D33F6A" w:rsidP="000769BF">
            <w:pPr>
              <w:tabs>
                <w:tab w:val="left" w:leader="dot" w:pos="9072"/>
              </w:tabs>
              <w:spacing w:before="80" w:after="80"/>
              <w:rPr>
                <w:rFonts w:asciiTheme="majorHAnsi" w:hAnsiTheme="majorHAnsi"/>
                <w:lang w:eastAsia="hu-HU"/>
              </w:rPr>
            </w:pPr>
            <w:r w:rsidRPr="00D33F6A">
              <w:rPr>
                <w:rFonts w:asciiTheme="majorHAnsi" w:hAnsiTheme="majorHAnsi"/>
                <w:lang w:eastAsia="hu-HU"/>
              </w:rPr>
              <w:t>az egészségügyi szolgálati jogviszonyról szóló 2020. évi C. törvény</w:t>
            </w:r>
          </w:p>
        </w:tc>
      </w:tr>
    </w:tbl>
    <w:p w:rsidR="00D33F6A" w:rsidRPr="00D33F6A" w:rsidRDefault="00D33F6A" w:rsidP="00D33F6A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Theme="majorHAnsi" w:eastAsia="Calibri" w:hAnsiTheme="majorHAnsi" w:cs="Times New Roman"/>
          <w:lang w:eastAsia="hu-HU"/>
        </w:rPr>
      </w:pPr>
    </w:p>
    <w:p w:rsidR="00350E11" w:rsidRPr="00D33F6A" w:rsidRDefault="00350E11"/>
    <w:sectPr w:rsidR="00350E11" w:rsidRPr="00D3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5FB8"/>
    <w:multiLevelType w:val="hybridMultilevel"/>
    <w:tmpl w:val="2CBEF0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503A7FA2"/>
    <w:multiLevelType w:val="hybridMultilevel"/>
    <w:tmpl w:val="D9E6FD42"/>
    <w:lvl w:ilvl="0" w:tplc="852EBF78">
      <w:start w:val="444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27301"/>
    <w:multiLevelType w:val="hybridMultilevel"/>
    <w:tmpl w:val="2CBEF0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232F2"/>
    <w:multiLevelType w:val="hybridMultilevel"/>
    <w:tmpl w:val="6EA41BA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93E56"/>
    <w:multiLevelType w:val="hybridMultilevel"/>
    <w:tmpl w:val="7848C0D6"/>
    <w:lvl w:ilvl="0" w:tplc="48FC7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6A"/>
    <w:rsid w:val="00350E11"/>
    <w:rsid w:val="00D3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3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33F6A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33F6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33F6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3F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33F6A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33F6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33F6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2207</Words>
  <Characters>15236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2026-05-29T10:05:00Z</dcterms:created>
  <dcterms:modified xsi:type="dcterms:W3CDTF">2026-05-29T10:06:00Z</dcterms:modified>
</cp:coreProperties>
</file>