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6EDB" w14:textId="691D5B03" w:rsidR="005032BA" w:rsidRDefault="005032BA" w:rsidP="005032BA">
      <w:pPr>
        <w:pStyle w:val="Szvegtrzs"/>
        <w:spacing w:before="240" w:after="480"/>
        <w:jc w:val="center"/>
        <w:rPr>
          <w:b/>
          <w:bCs/>
        </w:rPr>
      </w:pPr>
      <w:r>
        <w:rPr>
          <w:b/>
          <w:bCs/>
        </w:rPr>
        <w:t>Tiszavasvári Város Önkormányzata Képviselő-testületének 11/2026.(V.22.) önkormányzati rendelete</w:t>
      </w:r>
    </w:p>
    <w:p w14:paraId="15F6A3C2" w14:textId="77777777" w:rsidR="00AF5851" w:rsidRDefault="00AF5851" w:rsidP="00AF5851">
      <w:pPr>
        <w:pStyle w:val="Szvegtrzs"/>
        <w:spacing w:before="240" w:after="480"/>
        <w:jc w:val="center"/>
        <w:rPr>
          <w:b/>
          <w:bCs/>
        </w:rPr>
      </w:pPr>
      <w:r>
        <w:rPr>
          <w:b/>
          <w:bCs/>
          <w:szCs w:val="24"/>
        </w:rPr>
        <w:t>Tiszavasvári Város Önkormányzata 2025. évi költségvetési gazdálkodásának végrehajtásáról</w:t>
      </w:r>
    </w:p>
    <w:p w14:paraId="31F515D4" w14:textId="77777777" w:rsidR="00AF5851" w:rsidRDefault="00AF5851" w:rsidP="00AF5851">
      <w:pPr>
        <w:pStyle w:val="Szvegtrzs"/>
      </w:pPr>
      <w:r>
        <w:rPr>
          <w:szCs w:val="24"/>
        </w:rPr>
        <w:t>[1] Tiszavasvári Város Önkormányzatának Képviselő-testülete Tiszavasvári Város Önkormányzata éves gazdálkodásának, az előző évi költségvetés végrehajtásának jóváhagyása céljából,</w:t>
      </w:r>
    </w:p>
    <w:p w14:paraId="22534361" w14:textId="77777777" w:rsidR="00AF5851" w:rsidRDefault="00AF5851" w:rsidP="00AF5851">
      <w:pPr>
        <w:pStyle w:val="Szvegtrzs"/>
        <w:spacing w:before="120"/>
      </w:pPr>
      <w:r>
        <w:rPr>
          <w:szCs w:val="24"/>
        </w:rPr>
        <w:t>[2] az Alaptörvény 32. cikk (2) bekezdésében meghatározott eredeti jogalkotói hatáskörben, az Alaptörvény 32. cikk (1) bekezdése f) pontjában meghatározott feladatkörében eljárva, Tiszavasvári Város Önkormányzata Képviselő-testülete az Önkormányzat Szervezeti és Működési Szabályzatának megalkotásáról szóló 5/2025. (IV.1.) önkormányzati rendelete 3. melléklet 2.1. pontjában biztosított véleményezési jogkörében illetékes Pénzügyi és Ügyrendi Bizottság, a Tiszavasvári Város Önkormányzata Képviselő-testülete Szervezeti és Működési Szabályzatának megalkotásáról szóló 5/2025. (IV.1.) önkormányzati rendelete 3. melléklet 2.1. pontjában biztosított véleményezési jogkörében illetékes Szociális és Humán Bizottság véleményének kikérésével a következőket rendeli el:</w:t>
      </w:r>
    </w:p>
    <w:p w14:paraId="6F4CA026" w14:textId="77777777" w:rsidR="00AF5851" w:rsidRDefault="00AF5851" w:rsidP="00AF5851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1. §</w:t>
      </w:r>
    </w:p>
    <w:p w14:paraId="69A8CFAF" w14:textId="77777777" w:rsidR="00AF5851" w:rsidRDefault="00AF5851" w:rsidP="00AF5851">
      <w:pPr>
        <w:pStyle w:val="Szvegtrzs"/>
      </w:pPr>
      <w:r>
        <w:rPr>
          <w:szCs w:val="24"/>
        </w:rPr>
        <w:t>Tiszavasvári Város Önkormányzata és intézményei 2025. évi költségvetésének teljesítését</w:t>
      </w:r>
    </w:p>
    <w:p w14:paraId="0C344C69" w14:textId="77777777" w:rsidR="00AF5851" w:rsidRDefault="00AF5851" w:rsidP="00AF5851">
      <w:pPr>
        <w:pStyle w:val="Szvegtrzs"/>
        <w:ind w:left="580" w:hanging="560"/>
      </w:pPr>
      <w:r>
        <w:rPr>
          <w:i/>
          <w:iCs/>
          <w:szCs w:val="24"/>
        </w:rPr>
        <w:t>a)</w:t>
      </w:r>
      <w:r>
        <w:rPr>
          <w:szCs w:val="24"/>
        </w:rPr>
        <w:tab/>
        <w:t>6.015.086.561 Ft költségvetési bevétellel</w:t>
      </w:r>
    </w:p>
    <w:p w14:paraId="4D6417D5" w14:textId="77777777" w:rsidR="00AF5851" w:rsidRDefault="00AF5851" w:rsidP="00AF5851">
      <w:pPr>
        <w:pStyle w:val="Szvegtrzs"/>
        <w:ind w:left="580" w:hanging="560"/>
      </w:pPr>
      <w:r>
        <w:rPr>
          <w:i/>
          <w:iCs/>
          <w:szCs w:val="24"/>
        </w:rPr>
        <w:t>b)</w:t>
      </w:r>
      <w:r>
        <w:rPr>
          <w:szCs w:val="24"/>
        </w:rPr>
        <w:tab/>
        <w:t>4.809.724.372 Ft költségvetési kiadással,</w:t>
      </w:r>
    </w:p>
    <w:p w14:paraId="13F32F5B" w14:textId="77777777" w:rsidR="00AF5851" w:rsidRDefault="00AF5851" w:rsidP="00AF5851">
      <w:pPr>
        <w:pStyle w:val="Szvegtrzs"/>
        <w:ind w:left="580" w:hanging="560"/>
      </w:pPr>
      <w:r>
        <w:rPr>
          <w:i/>
          <w:iCs/>
          <w:szCs w:val="24"/>
        </w:rPr>
        <w:t>c)</w:t>
      </w:r>
      <w:r>
        <w:rPr>
          <w:szCs w:val="24"/>
        </w:rPr>
        <w:tab/>
        <w:t>1.675.714.225 Ft finanszírozási bevétellel</w:t>
      </w:r>
    </w:p>
    <w:p w14:paraId="736C7BE4" w14:textId="77777777" w:rsidR="00AF5851" w:rsidRDefault="00AF5851" w:rsidP="00AF5851">
      <w:pPr>
        <w:pStyle w:val="Szvegtrzs"/>
        <w:ind w:left="580" w:hanging="560"/>
      </w:pPr>
      <w:r>
        <w:rPr>
          <w:i/>
          <w:iCs/>
          <w:szCs w:val="24"/>
        </w:rPr>
        <w:t>d)</w:t>
      </w:r>
      <w:r>
        <w:rPr>
          <w:szCs w:val="24"/>
        </w:rPr>
        <w:tab/>
        <w:t>945.472.075 Ft finanszírozási kiadással,</w:t>
      </w:r>
    </w:p>
    <w:p w14:paraId="23D9BEC2" w14:textId="77777777" w:rsidR="00AF5851" w:rsidRDefault="00AF5851" w:rsidP="00AF5851">
      <w:pPr>
        <w:pStyle w:val="Szvegtrzs"/>
      </w:pPr>
      <w:r>
        <w:rPr>
          <w:szCs w:val="24"/>
        </w:rPr>
        <w:t>az 1., 2., 3., 4., 5., és 6. mellékletekben foglalt részletezéssel fogadja el.</w:t>
      </w:r>
    </w:p>
    <w:p w14:paraId="7377E5BA" w14:textId="77777777" w:rsidR="00AF5851" w:rsidRDefault="00AF5851" w:rsidP="00AF5851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2. §</w:t>
      </w:r>
    </w:p>
    <w:p w14:paraId="59B4F4D3" w14:textId="77777777" w:rsidR="00AF5851" w:rsidRDefault="00AF5851" w:rsidP="00AF5851">
      <w:pPr>
        <w:pStyle w:val="Szvegtrzs"/>
      </w:pPr>
      <w:r>
        <w:rPr>
          <w:szCs w:val="24"/>
        </w:rPr>
        <w:t>Az irányítása alá tartozó intézmények 2025. évi költségvetésének teljesítését</w:t>
      </w:r>
    </w:p>
    <w:p w14:paraId="0E211DFE" w14:textId="77777777" w:rsidR="00AF5851" w:rsidRDefault="00AF5851" w:rsidP="00AF5851">
      <w:pPr>
        <w:pStyle w:val="Szvegtrzs"/>
        <w:ind w:left="580" w:hanging="560"/>
      </w:pPr>
      <w:r>
        <w:rPr>
          <w:i/>
          <w:iCs/>
          <w:szCs w:val="24"/>
        </w:rPr>
        <w:t>a)</w:t>
      </w:r>
      <w:r>
        <w:rPr>
          <w:szCs w:val="24"/>
        </w:rPr>
        <w:tab/>
        <w:t>705.803.630 Ft bevétellel (önkormányzati finanszírozással együtt 3.634.093.727 Ft), és</w:t>
      </w:r>
    </w:p>
    <w:p w14:paraId="27885CDC" w14:textId="77777777" w:rsidR="00AF5851" w:rsidRDefault="00AF5851" w:rsidP="00AF5851">
      <w:pPr>
        <w:pStyle w:val="Szvegtrzs"/>
        <w:ind w:left="580" w:hanging="560"/>
      </w:pPr>
      <w:r>
        <w:rPr>
          <w:i/>
          <w:iCs/>
          <w:szCs w:val="24"/>
        </w:rPr>
        <w:t>b)</w:t>
      </w:r>
      <w:r>
        <w:rPr>
          <w:szCs w:val="24"/>
        </w:rPr>
        <w:tab/>
        <w:t>3.583.934.408 Ft kiadással</w:t>
      </w:r>
    </w:p>
    <w:p w14:paraId="355F379E" w14:textId="77777777" w:rsidR="00AF5851" w:rsidRDefault="00AF5851" w:rsidP="00AF5851">
      <w:pPr>
        <w:pStyle w:val="Szvegtrzs"/>
      </w:pPr>
      <w:r>
        <w:rPr>
          <w:szCs w:val="24"/>
        </w:rPr>
        <w:t>a 11., 12., 13., 14., és 15., mellékletek szerinti részletezéssel fogadja el.</w:t>
      </w:r>
    </w:p>
    <w:p w14:paraId="20E57E1E" w14:textId="77777777" w:rsidR="00AF5851" w:rsidRDefault="00AF5851" w:rsidP="00AF5851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3. §</w:t>
      </w:r>
    </w:p>
    <w:p w14:paraId="1F2416F2" w14:textId="77777777" w:rsidR="00AF5851" w:rsidRDefault="00AF5851" w:rsidP="00AF5851">
      <w:pPr>
        <w:pStyle w:val="Szvegtrzs"/>
      </w:pPr>
      <w:r>
        <w:rPr>
          <w:szCs w:val="24"/>
        </w:rPr>
        <w:t>Az önkormányzat saját 2025. évi költségvetésének teljesítését</w:t>
      </w:r>
    </w:p>
    <w:p w14:paraId="469117C8" w14:textId="77777777" w:rsidR="00AF5851" w:rsidRDefault="00AF5851" w:rsidP="00AF5851">
      <w:pPr>
        <w:pStyle w:val="Szvegtrzs"/>
        <w:ind w:left="580" w:hanging="560"/>
      </w:pPr>
      <w:r>
        <w:rPr>
          <w:i/>
          <w:iCs/>
          <w:szCs w:val="24"/>
        </w:rPr>
        <w:t>a)</w:t>
      </w:r>
      <w:r>
        <w:rPr>
          <w:szCs w:val="24"/>
        </w:rPr>
        <w:tab/>
        <w:t>6.984.997.156 Ft bevétellel,</w:t>
      </w:r>
    </w:p>
    <w:p w14:paraId="474A33A4" w14:textId="77777777" w:rsidR="00AF5851" w:rsidRDefault="00AF5851" w:rsidP="00AF5851">
      <w:pPr>
        <w:pStyle w:val="Szvegtrzs"/>
        <w:ind w:left="580" w:hanging="560"/>
      </w:pPr>
      <w:r>
        <w:rPr>
          <w:i/>
          <w:iCs/>
          <w:szCs w:val="24"/>
        </w:rPr>
        <w:t>b)</w:t>
      </w:r>
      <w:r>
        <w:rPr>
          <w:szCs w:val="24"/>
        </w:rPr>
        <w:tab/>
        <w:t>5.099.552.136 Ft kiadással, ebből</w:t>
      </w:r>
    </w:p>
    <w:p w14:paraId="04ABE835" w14:textId="77777777" w:rsidR="00AF5851" w:rsidRDefault="00AF5851" w:rsidP="00AF5851">
      <w:pPr>
        <w:pStyle w:val="Szvegtrzs"/>
        <w:ind w:left="580" w:hanging="560"/>
      </w:pPr>
      <w:r>
        <w:rPr>
          <w:i/>
          <w:iCs/>
          <w:szCs w:val="24"/>
        </w:rPr>
        <w:t>c)</w:t>
      </w:r>
      <w:r>
        <w:rPr>
          <w:szCs w:val="24"/>
        </w:rPr>
        <w:tab/>
        <w:t>2.928.290.097 Ft intézmények részére folyósított önkormányzati támogatással</w:t>
      </w:r>
    </w:p>
    <w:p w14:paraId="51F7F39F" w14:textId="77777777" w:rsidR="00AF5851" w:rsidRDefault="00AF5851" w:rsidP="00AF5851">
      <w:pPr>
        <w:pStyle w:val="Szvegtrzs"/>
        <w:ind w:left="580" w:hanging="560"/>
      </w:pPr>
      <w:r>
        <w:rPr>
          <w:i/>
          <w:iCs/>
          <w:szCs w:val="24"/>
        </w:rPr>
        <w:t>d)</w:t>
      </w:r>
      <w:r>
        <w:rPr>
          <w:szCs w:val="24"/>
        </w:rPr>
        <w:tab/>
        <w:t>2.171.262.039 Ft önkormányzati kiadással</w:t>
      </w:r>
    </w:p>
    <w:p w14:paraId="304A07B5" w14:textId="77777777" w:rsidR="00AF5851" w:rsidRDefault="00AF5851" w:rsidP="00AF5851">
      <w:pPr>
        <w:pStyle w:val="Szvegtrzs"/>
      </w:pPr>
      <w:r>
        <w:rPr>
          <w:szCs w:val="24"/>
        </w:rPr>
        <w:t>a 10. melléklet szerinti részletezéssel fogadja el.</w:t>
      </w:r>
    </w:p>
    <w:p w14:paraId="231688A4" w14:textId="77777777" w:rsidR="00AF5851" w:rsidRDefault="00AF5851" w:rsidP="00AF5851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4. §</w:t>
      </w:r>
    </w:p>
    <w:p w14:paraId="3284C5E8" w14:textId="77777777" w:rsidR="00AF5851" w:rsidRDefault="00AF5851" w:rsidP="00AF5851">
      <w:pPr>
        <w:pStyle w:val="Szvegtrzs"/>
      </w:pPr>
      <w:r>
        <w:rPr>
          <w:szCs w:val="24"/>
        </w:rPr>
        <w:t>Az önkormányzat a 2025. évi költségvetésének végrehajtásáról szóló zárszámadást részletesen a következők szerint fogadja el.</w:t>
      </w:r>
    </w:p>
    <w:p w14:paraId="2AA93651" w14:textId="77777777" w:rsidR="00AF5851" w:rsidRDefault="00AF5851" w:rsidP="00AF5851">
      <w:pPr>
        <w:pStyle w:val="Szvegtrzs"/>
        <w:ind w:left="580" w:hanging="560"/>
      </w:pPr>
      <w:r>
        <w:rPr>
          <w:i/>
          <w:iCs/>
          <w:szCs w:val="24"/>
        </w:rPr>
        <w:t>a)</w:t>
      </w:r>
      <w:r>
        <w:rPr>
          <w:szCs w:val="24"/>
        </w:rPr>
        <w:tab/>
        <w:t>Az önkormányzat beruházási és felújítási kiadásait a 7. és 8. melléklet szerint hagyja jóvá.</w:t>
      </w:r>
    </w:p>
    <w:p w14:paraId="38957D85" w14:textId="77777777" w:rsidR="00AF5851" w:rsidRDefault="00AF5851" w:rsidP="00AF5851">
      <w:pPr>
        <w:pStyle w:val="Szvegtrzs"/>
        <w:ind w:left="580" w:hanging="560"/>
      </w:pPr>
      <w:r>
        <w:rPr>
          <w:i/>
          <w:iCs/>
          <w:szCs w:val="24"/>
        </w:rPr>
        <w:lastRenderedPageBreak/>
        <w:t>b)</w:t>
      </w:r>
      <w:r>
        <w:rPr>
          <w:szCs w:val="24"/>
        </w:rPr>
        <w:tab/>
        <w:t>Az EU-s támogatással megvalósuló programok és projektek pénzügyi elszámolását a 9. melléklet szerint fogadja el.</w:t>
      </w:r>
    </w:p>
    <w:p w14:paraId="59FD24B7" w14:textId="77777777" w:rsidR="00AF5851" w:rsidRDefault="00AF5851" w:rsidP="00AF5851">
      <w:pPr>
        <w:pStyle w:val="Szvegtrzs"/>
        <w:ind w:left="580" w:hanging="560"/>
      </w:pPr>
      <w:r>
        <w:rPr>
          <w:i/>
          <w:iCs/>
          <w:szCs w:val="24"/>
        </w:rPr>
        <w:t>c)</w:t>
      </w:r>
      <w:r>
        <w:rPr>
          <w:szCs w:val="24"/>
        </w:rPr>
        <w:tab/>
        <w:t>A költségvetési szervek maradványát a 16. mellékletnek megfelelően hagyja jóvá, illetve engedélyezi.</w:t>
      </w:r>
    </w:p>
    <w:p w14:paraId="5F7672AB" w14:textId="77777777" w:rsidR="00AF5851" w:rsidRDefault="00AF5851" w:rsidP="00AF5851">
      <w:pPr>
        <w:pStyle w:val="Szvegtrzs"/>
        <w:ind w:left="580" w:hanging="560"/>
      </w:pPr>
      <w:r>
        <w:rPr>
          <w:i/>
          <w:iCs/>
          <w:szCs w:val="24"/>
        </w:rPr>
        <w:t>d)</w:t>
      </w:r>
      <w:r>
        <w:rPr>
          <w:szCs w:val="24"/>
        </w:rPr>
        <w:tab/>
        <w:t>A 2025. évi általános működés és ágazati feladatok támogatásának alakulását jogcímenként a 17. mellékletben foglaltak szerint hagyja jóvá.</w:t>
      </w:r>
    </w:p>
    <w:p w14:paraId="5E1A036E" w14:textId="77777777" w:rsidR="00AF5851" w:rsidRDefault="00AF5851" w:rsidP="00AF5851">
      <w:pPr>
        <w:pStyle w:val="Szvegtrzs"/>
        <w:ind w:left="580" w:hanging="560"/>
      </w:pPr>
      <w:r>
        <w:rPr>
          <w:i/>
          <w:iCs/>
          <w:szCs w:val="24"/>
        </w:rPr>
        <w:t>e)</w:t>
      </w:r>
      <w:r>
        <w:rPr>
          <w:szCs w:val="24"/>
        </w:rPr>
        <w:tab/>
        <w:t>Többéves kihatással járó döntésekből származó kötelezettségeket a 20. mellékletben (2. tájékoztató táblában) foglaltak szerint hagyja jóvá.</w:t>
      </w:r>
    </w:p>
    <w:p w14:paraId="27026FB9" w14:textId="77777777" w:rsidR="00AF5851" w:rsidRDefault="00AF5851" w:rsidP="00AF5851">
      <w:pPr>
        <w:pStyle w:val="Szvegtrzs"/>
        <w:ind w:left="580" w:hanging="560"/>
      </w:pPr>
      <w:r>
        <w:rPr>
          <w:i/>
          <w:iCs/>
          <w:szCs w:val="24"/>
        </w:rPr>
        <w:t>f)</w:t>
      </w:r>
      <w:r>
        <w:rPr>
          <w:szCs w:val="24"/>
        </w:rPr>
        <w:tab/>
        <w:t>Az adósságállomány alakulását a 22. mellékletben (4. tájékoztató táblában) foglaltak szerint fogadja el.</w:t>
      </w:r>
    </w:p>
    <w:p w14:paraId="2384E11A" w14:textId="77777777" w:rsidR="00AF5851" w:rsidRDefault="00AF5851" w:rsidP="00AF5851">
      <w:pPr>
        <w:pStyle w:val="Szvegtrzs"/>
        <w:ind w:left="580" w:hanging="560"/>
      </w:pPr>
      <w:r>
        <w:rPr>
          <w:i/>
          <w:iCs/>
          <w:szCs w:val="24"/>
        </w:rPr>
        <w:t>g)</w:t>
      </w:r>
      <w:r>
        <w:rPr>
          <w:szCs w:val="24"/>
        </w:rPr>
        <w:tab/>
        <w:t>Az önkormányzat által adott közvetett támogatásokat a 21. mellékletben (3. tájékoztató táblában), a céljelleggel juttatott támogatások felhasználását a 18. mellékletben foglaltak szerint fogadja el.</w:t>
      </w:r>
    </w:p>
    <w:p w14:paraId="3BBC7491" w14:textId="77777777" w:rsidR="00AF5851" w:rsidRDefault="00AF5851" w:rsidP="00AF5851">
      <w:pPr>
        <w:pStyle w:val="Szvegtrzs"/>
        <w:ind w:left="580" w:hanging="560"/>
      </w:pPr>
      <w:r>
        <w:rPr>
          <w:i/>
          <w:iCs/>
          <w:szCs w:val="24"/>
        </w:rPr>
        <w:t>h)</w:t>
      </w:r>
      <w:r>
        <w:rPr>
          <w:szCs w:val="24"/>
        </w:rPr>
        <w:tab/>
        <w:t>Az önkormányzat vagyonkimutatását az 24., 25., és 26. mellékletek (6-8. tájékoztató táblák) szerint hagyja jóvá.</w:t>
      </w:r>
    </w:p>
    <w:p w14:paraId="47D0BB83" w14:textId="77777777" w:rsidR="00AF5851" w:rsidRDefault="00AF5851" w:rsidP="00AF5851">
      <w:pPr>
        <w:pStyle w:val="Szvegtrzs"/>
        <w:ind w:left="580" w:hanging="560"/>
      </w:pPr>
      <w:r>
        <w:rPr>
          <w:i/>
          <w:iCs/>
          <w:szCs w:val="24"/>
        </w:rPr>
        <w:t>i)</w:t>
      </w:r>
      <w:r>
        <w:rPr>
          <w:szCs w:val="24"/>
        </w:rPr>
        <w:tab/>
        <w:t>Az önkormányzat tulajdonában álló gazdálkodó szervezetek részesedések alakulását a 2025. évben a 27. melléklet (9. tájékoztató tábla) szerint fogadja el.</w:t>
      </w:r>
    </w:p>
    <w:p w14:paraId="2DB66C74" w14:textId="77777777" w:rsidR="00AF5851" w:rsidRDefault="00AF5851" w:rsidP="00AF5851">
      <w:pPr>
        <w:pStyle w:val="Szvegtrzs"/>
        <w:ind w:left="580" w:hanging="560"/>
      </w:pPr>
      <w:r>
        <w:rPr>
          <w:i/>
          <w:iCs/>
          <w:szCs w:val="24"/>
        </w:rPr>
        <w:t>j)</w:t>
      </w:r>
      <w:r>
        <w:rPr>
          <w:szCs w:val="24"/>
        </w:rPr>
        <w:tab/>
        <w:t>A pénzeszközök változásának levezetését a 28. melléklet (10. tájékoztató tábla) szerint hagyja jóvá.</w:t>
      </w:r>
    </w:p>
    <w:p w14:paraId="4A6B6C24" w14:textId="77777777" w:rsidR="00AF5851" w:rsidRDefault="00AF5851" w:rsidP="00AF5851">
      <w:pPr>
        <w:pStyle w:val="Szvegtrzs"/>
        <w:ind w:left="580" w:hanging="560"/>
      </w:pPr>
      <w:r>
        <w:rPr>
          <w:i/>
          <w:iCs/>
          <w:szCs w:val="24"/>
        </w:rPr>
        <w:t>k)</w:t>
      </w:r>
      <w:r>
        <w:rPr>
          <w:szCs w:val="24"/>
        </w:rPr>
        <w:tab/>
        <w:t>A költségvetés 2024. és 2025. évi teljesítésének és 2025. évi módosított előirányzatának bemutatását a 19. melléklet (1. tájékoztató tábla) szerint fogadja el.</w:t>
      </w:r>
    </w:p>
    <w:p w14:paraId="16207E4B" w14:textId="77777777" w:rsidR="00AF5851" w:rsidRDefault="00AF5851" w:rsidP="00AF5851">
      <w:pPr>
        <w:pStyle w:val="Szvegtrzs"/>
        <w:ind w:left="580" w:hanging="560"/>
      </w:pPr>
      <w:r>
        <w:rPr>
          <w:i/>
          <w:iCs/>
          <w:szCs w:val="24"/>
        </w:rPr>
        <w:t>l)</w:t>
      </w:r>
      <w:r>
        <w:rPr>
          <w:szCs w:val="24"/>
        </w:rPr>
        <w:tab/>
        <w:t>Az önkormányzat által nyújtott hitel és kölcsön alakulása lejárat és eszközök szerinti bontásban a 23. melléklet (5. számú tájékoztató tábla) szerint fogadja el.</w:t>
      </w:r>
    </w:p>
    <w:p w14:paraId="7799B538" w14:textId="77777777" w:rsidR="00AF5851" w:rsidRDefault="00AF5851" w:rsidP="00AF5851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5. §</w:t>
      </w:r>
    </w:p>
    <w:p w14:paraId="5ECA2B77" w14:textId="77777777" w:rsidR="00AF5851" w:rsidRDefault="00AF5851" w:rsidP="00AF5851">
      <w:pPr>
        <w:pStyle w:val="Szvegtrzs"/>
      </w:pPr>
      <w:r>
        <w:rPr>
          <w:szCs w:val="24"/>
        </w:rPr>
        <w:t>Felkéri az Önkormányzat jegyzőjét, hogy a zárszámadás elfogadásáról és a költségvetési maradvány jóváhagyott összegéről tájékoztassa a költségvetési szervek vezetőit.</w:t>
      </w:r>
    </w:p>
    <w:p w14:paraId="0CF25378" w14:textId="77777777" w:rsidR="00AF5851" w:rsidRDefault="00AF5851" w:rsidP="00AF5851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6. §</w:t>
      </w:r>
    </w:p>
    <w:p w14:paraId="4778D0E6" w14:textId="77777777" w:rsidR="00AF5851" w:rsidRDefault="00AF5851" w:rsidP="00AF5851">
      <w:pPr>
        <w:pStyle w:val="Szvegtrzs"/>
      </w:pPr>
      <w:r>
        <w:rPr>
          <w:szCs w:val="24"/>
        </w:rPr>
        <w:t>Hatályát veszti,</w:t>
      </w:r>
    </w:p>
    <w:p w14:paraId="00F2EB23" w14:textId="77777777" w:rsidR="00AF5851" w:rsidRDefault="00AF5851" w:rsidP="00AF5851">
      <w:pPr>
        <w:pStyle w:val="Szvegtrzs"/>
        <w:ind w:left="580" w:hanging="560"/>
      </w:pPr>
      <w:r>
        <w:rPr>
          <w:i/>
          <w:iCs/>
          <w:szCs w:val="24"/>
        </w:rPr>
        <w:t>a)</w:t>
      </w:r>
      <w:r>
        <w:rPr>
          <w:szCs w:val="24"/>
        </w:rPr>
        <w:tab/>
        <w:t>az önkormányzat 2025. évi költségvetéséről szóló 2/2025. (II. 21.) önkormányzati rendelet.</w:t>
      </w:r>
    </w:p>
    <w:p w14:paraId="0233608E" w14:textId="77777777" w:rsidR="00AF5851" w:rsidRDefault="00AF5851" w:rsidP="00AF5851">
      <w:pPr>
        <w:pStyle w:val="Szvegtrzs"/>
        <w:ind w:left="580" w:hanging="560"/>
      </w:pPr>
      <w:r>
        <w:rPr>
          <w:i/>
          <w:iCs/>
          <w:szCs w:val="24"/>
        </w:rPr>
        <w:t>b)</w:t>
      </w:r>
      <w:r>
        <w:rPr>
          <w:szCs w:val="24"/>
        </w:rPr>
        <w:tab/>
        <w:t>a Tiszavasvári Város Önkormányzata 2024. évi költségvetési gazdálkodásának végrehajtásáról szóló 10/2025. (V. 23.) önkormányzati rendelet.</w:t>
      </w:r>
    </w:p>
    <w:p w14:paraId="080BDBF7" w14:textId="77777777" w:rsidR="00AF5851" w:rsidRDefault="00AF5851" w:rsidP="00AF5851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7. §</w:t>
      </w:r>
    </w:p>
    <w:p w14:paraId="151C2842" w14:textId="30FA6F5D" w:rsidR="005032BA" w:rsidRDefault="00AF5851" w:rsidP="005032BA">
      <w:pPr>
        <w:pStyle w:val="Szvegtrzs"/>
        <w:rPr>
          <w:szCs w:val="24"/>
        </w:rPr>
      </w:pPr>
      <w:r>
        <w:rPr>
          <w:szCs w:val="24"/>
        </w:rPr>
        <w:t>Ez a rendelet 2026. május 25-én lép hatályba.</w:t>
      </w:r>
    </w:p>
    <w:p w14:paraId="1319C80A" w14:textId="77777777" w:rsidR="00AF5851" w:rsidRDefault="00AF5851" w:rsidP="005032BA">
      <w:pPr>
        <w:pStyle w:val="Szvegtrzs"/>
      </w:pPr>
    </w:p>
    <w:p w14:paraId="74412FB5" w14:textId="77777777" w:rsidR="005032BA" w:rsidRPr="00713705" w:rsidRDefault="005032BA" w:rsidP="005032BA">
      <w:pPr>
        <w:tabs>
          <w:tab w:val="center" w:pos="2268"/>
          <w:tab w:val="center" w:pos="6804"/>
        </w:tabs>
        <w:jc w:val="both"/>
        <w:rPr>
          <w:sz w:val="24"/>
        </w:rPr>
      </w:pPr>
      <w:r w:rsidRPr="00713705">
        <w:rPr>
          <w:sz w:val="24"/>
        </w:rPr>
        <w:t>Tiszavasvári, 202</w:t>
      </w:r>
      <w:r>
        <w:rPr>
          <w:sz w:val="24"/>
        </w:rPr>
        <w:t>6</w:t>
      </w:r>
      <w:r w:rsidRPr="00713705">
        <w:rPr>
          <w:sz w:val="24"/>
        </w:rPr>
        <w:t>. május 2</w:t>
      </w:r>
      <w:r>
        <w:rPr>
          <w:sz w:val="24"/>
        </w:rPr>
        <w:t>2.</w:t>
      </w:r>
    </w:p>
    <w:p w14:paraId="03D03AC1" w14:textId="77777777" w:rsidR="005032BA" w:rsidRPr="00713705" w:rsidRDefault="005032BA" w:rsidP="005032BA">
      <w:pPr>
        <w:tabs>
          <w:tab w:val="center" w:pos="2268"/>
          <w:tab w:val="center" w:pos="6804"/>
        </w:tabs>
        <w:jc w:val="both"/>
        <w:rPr>
          <w:sz w:val="24"/>
        </w:rPr>
      </w:pPr>
    </w:p>
    <w:p w14:paraId="666AA54C" w14:textId="77777777" w:rsidR="005032BA" w:rsidRPr="00713705" w:rsidRDefault="005032BA" w:rsidP="005032BA">
      <w:pPr>
        <w:tabs>
          <w:tab w:val="center" w:pos="2268"/>
          <w:tab w:val="center" w:pos="6804"/>
        </w:tabs>
        <w:jc w:val="both"/>
        <w:rPr>
          <w:b/>
          <w:sz w:val="24"/>
        </w:rPr>
      </w:pPr>
      <w:r w:rsidRPr="00713705">
        <w:rPr>
          <w:b/>
          <w:sz w:val="24"/>
        </w:rPr>
        <w:tab/>
      </w:r>
    </w:p>
    <w:p w14:paraId="245454BD" w14:textId="77777777" w:rsidR="005032BA" w:rsidRPr="00713705" w:rsidRDefault="005032BA" w:rsidP="005032BA">
      <w:pPr>
        <w:tabs>
          <w:tab w:val="center" w:pos="2268"/>
          <w:tab w:val="center" w:pos="6804"/>
        </w:tabs>
        <w:jc w:val="both"/>
        <w:rPr>
          <w:b/>
          <w:sz w:val="24"/>
        </w:rPr>
      </w:pPr>
      <w:r w:rsidRPr="00713705">
        <w:rPr>
          <w:b/>
          <w:sz w:val="24"/>
        </w:rPr>
        <w:tab/>
      </w:r>
      <w:proofErr w:type="spellStart"/>
      <w:r w:rsidRPr="00713705">
        <w:rPr>
          <w:b/>
          <w:sz w:val="24"/>
        </w:rPr>
        <w:t>Balázsi</w:t>
      </w:r>
      <w:proofErr w:type="spellEnd"/>
      <w:r w:rsidRPr="00713705">
        <w:rPr>
          <w:b/>
          <w:sz w:val="24"/>
        </w:rPr>
        <w:t xml:space="preserve"> Csilla </w:t>
      </w:r>
      <w:r w:rsidRPr="00713705">
        <w:rPr>
          <w:b/>
          <w:sz w:val="24"/>
        </w:rPr>
        <w:tab/>
        <w:t>Dr. Kovács János</w:t>
      </w:r>
    </w:p>
    <w:p w14:paraId="5243A15D" w14:textId="77777777" w:rsidR="005032BA" w:rsidRPr="00713705" w:rsidRDefault="005032BA" w:rsidP="005032BA">
      <w:pPr>
        <w:tabs>
          <w:tab w:val="center" w:pos="2268"/>
          <w:tab w:val="center" w:pos="6804"/>
        </w:tabs>
        <w:rPr>
          <w:sz w:val="24"/>
        </w:rPr>
      </w:pPr>
      <w:r w:rsidRPr="00713705">
        <w:rPr>
          <w:b/>
          <w:sz w:val="24"/>
        </w:rPr>
        <w:tab/>
        <w:t>polgármester</w:t>
      </w:r>
      <w:r w:rsidRPr="00713705">
        <w:rPr>
          <w:b/>
          <w:sz w:val="24"/>
        </w:rPr>
        <w:tab/>
        <w:t>jegyző</w:t>
      </w:r>
      <w:r w:rsidRPr="00713705">
        <w:rPr>
          <w:sz w:val="24"/>
        </w:rPr>
        <w:t xml:space="preserve"> </w:t>
      </w:r>
    </w:p>
    <w:p w14:paraId="560662B1" w14:textId="77777777" w:rsidR="005032BA" w:rsidRDefault="005032BA" w:rsidP="005032BA">
      <w:pPr>
        <w:tabs>
          <w:tab w:val="center" w:pos="2268"/>
          <w:tab w:val="center" w:pos="6804"/>
        </w:tabs>
        <w:rPr>
          <w:sz w:val="24"/>
        </w:rPr>
      </w:pPr>
    </w:p>
    <w:p w14:paraId="32AC6524" w14:textId="0570DE22" w:rsidR="005032BA" w:rsidRPr="00713705" w:rsidRDefault="005032BA" w:rsidP="005032BA">
      <w:pPr>
        <w:tabs>
          <w:tab w:val="center" w:pos="2268"/>
          <w:tab w:val="center" w:pos="6804"/>
        </w:tabs>
        <w:rPr>
          <w:sz w:val="24"/>
        </w:rPr>
      </w:pPr>
      <w:r w:rsidRPr="00713705">
        <w:rPr>
          <w:sz w:val="24"/>
        </w:rPr>
        <w:t>Kihirdetve: 202</w:t>
      </w:r>
      <w:r>
        <w:rPr>
          <w:sz w:val="24"/>
        </w:rPr>
        <w:t>6</w:t>
      </w:r>
      <w:r w:rsidRPr="00713705">
        <w:rPr>
          <w:sz w:val="24"/>
        </w:rPr>
        <w:t>. május 2</w:t>
      </w:r>
      <w:r>
        <w:rPr>
          <w:sz w:val="24"/>
        </w:rPr>
        <w:t>2.</w:t>
      </w:r>
      <w:r w:rsidRPr="00713705">
        <w:rPr>
          <w:sz w:val="24"/>
        </w:rPr>
        <w:t>-</w:t>
      </w:r>
      <w:r>
        <w:rPr>
          <w:sz w:val="24"/>
        </w:rPr>
        <w:t>é</w:t>
      </w:r>
      <w:r w:rsidRPr="00713705">
        <w:rPr>
          <w:sz w:val="24"/>
        </w:rPr>
        <w:t>n.</w:t>
      </w:r>
    </w:p>
    <w:p w14:paraId="1AB0F6AA" w14:textId="77777777" w:rsidR="005032BA" w:rsidRDefault="005032BA" w:rsidP="005032BA">
      <w:pPr>
        <w:tabs>
          <w:tab w:val="center" w:pos="2268"/>
          <w:tab w:val="center" w:pos="6804"/>
        </w:tabs>
        <w:rPr>
          <w:b/>
          <w:sz w:val="24"/>
        </w:rPr>
      </w:pPr>
    </w:p>
    <w:p w14:paraId="47F7A58C" w14:textId="175540B1" w:rsidR="005032BA" w:rsidRPr="00713705" w:rsidRDefault="00AF5851" w:rsidP="005032BA">
      <w:pPr>
        <w:tabs>
          <w:tab w:val="center" w:pos="2268"/>
          <w:tab w:val="center" w:pos="6804"/>
        </w:tabs>
        <w:rPr>
          <w:b/>
          <w:sz w:val="24"/>
        </w:rPr>
      </w:pPr>
      <w:r>
        <w:rPr>
          <w:b/>
          <w:sz w:val="24"/>
        </w:rPr>
        <w:tab/>
      </w:r>
      <w:r w:rsidR="005032BA" w:rsidRPr="00713705">
        <w:rPr>
          <w:b/>
          <w:sz w:val="24"/>
        </w:rPr>
        <w:tab/>
        <w:t>Dr. Kovács János</w:t>
      </w:r>
    </w:p>
    <w:p w14:paraId="51ECD27D" w14:textId="3C9F7907" w:rsidR="005B12F6" w:rsidRDefault="005032BA" w:rsidP="005032BA">
      <w:pPr>
        <w:tabs>
          <w:tab w:val="center" w:pos="2268"/>
          <w:tab w:val="center" w:pos="6804"/>
        </w:tabs>
        <w:jc w:val="both"/>
        <w:rPr>
          <w:b/>
          <w:sz w:val="24"/>
        </w:rPr>
      </w:pPr>
      <w:r w:rsidRPr="00713705">
        <w:rPr>
          <w:b/>
          <w:sz w:val="24"/>
        </w:rPr>
        <w:tab/>
      </w:r>
      <w:r w:rsidR="00AF5851">
        <w:rPr>
          <w:b/>
          <w:sz w:val="24"/>
        </w:rPr>
        <w:tab/>
      </w:r>
      <w:r w:rsidRPr="00713705">
        <w:rPr>
          <w:b/>
          <w:sz w:val="24"/>
        </w:rPr>
        <w:t>jegyző</w:t>
      </w:r>
    </w:p>
    <w:p w14:paraId="3D21FB37" w14:textId="77777777" w:rsidR="00AF5851" w:rsidRDefault="00AF5851" w:rsidP="00AF5851">
      <w:pPr>
        <w:pStyle w:val="Szvegtrzs"/>
        <w:jc w:val="center"/>
      </w:pPr>
    </w:p>
    <w:p w14:paraId="5BAF4DA3" w14:textId="77777777" w:rsidR="00AF5851" w:rsidRDefault="00AF5851" w:rsidP="00AF5851">
      <w:pPr>
        <w:pStyle w:val="Szvegtrzs"/>
        <w:spacing w:after="150"/>
        <w:ind w:left="150" w:right="150"/>
        <w:jc w:val="center"/>
      </w:pPr>
      <w:r>
        <w:rPr>
          <w:szCs w:val="24"/>
        </w:rPr>
        <w:t>Általános indokolás</w:t>
      </w:r>
    </w:p>
    <w:p w14:paraId="6F424C31" w14:textId="77777777" w:rsidR="00AF5851" w:rsidRDefault="00AF5851" w:rsidP="00AF5851">
      <w:pPr>
        <w:pStyle w:val="Szvegtrzs"/>
        <w:spacing w:before="159" w:after="159"/>
        <w:ind w:left="159" w:right="159"/>
      </w:pPr>
      <w:r>
        <w:rPr>
          <w:szCs w:val="24"/>
        </w:rPr>
        <w:t>Az államháztartásról szóló 2011. évi CXCV. törvény (továbbiakban: Áht.) 91. § (1) bekezdésében foglaltak szerint a jegyző által előkészített zárszámadási rendelettervezetet a polgármester terjeszti a Képviselő-testület elé úgy, hogy az a képviselő-testület elé terjesztést követő harminc napon belül, de legkésőbb a költségvetési évet követő ötödik hónap utolsó napjáig hatályba lépjen. Az Önkormányzat 2025. évi zárszámadásáról szóló rendelet megalkotása indokolt annak érdekében, hogy a 2025. évi kötelezettséggel terhelt maradványok 2025. évi költségvetési évre történő áthozatala megtörténhessen.</w:t>
      </w:r>
    </w:p>
    <w:p w14:paraId="5D71D5CE" w14:textId="77777777" w:rsidR="00AF5851" w:rsidRDefault="00AF5851" w:rsidP="00AF5851">
      <w:pPr>
        <w:pStyle w:val="Szvegtrzs"/>
        <w:spacing w:before="450" w:after="150"/>
        <w:ind w:left="150" w:right="150"/>
        <w:jc w:val="center"/>
      </w:pPr>
      <w:r>
        <w:rPr>
          <w:szCs w:val="24"/>
        </w:rPr>
        <w:t>Részletes indokolás</w:t>
      </w:r>
    </w:p>
    <w:p w14:paraId="73243027" w14:textId="77777777" w:rsidR="00AF5851" w:rsidRDefault="00AF5851" w:rsidP="00AF5851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  <w:sz w:val="24"/>
          <w:szCs w:val="24"/>
        </w:rPr>
        <w:t xml:space="preserve">Az 1–3. §-hoz </w:t>
      </w:r>
    </w:p>
    <w:p w14:paraId="4E582CB9" w14:textId="77777777" w:rsidR="00AF5851" w:rsidRDefault="00AF5851" w:rsidP="00AF5851">
      <w:pPr>
        <w:pStyle w:val="Szvegtrzs"/>
        <w:spacing w:after="160"/>
      </w:pPr>
      <w:r>
        <w:rPr>
          <w:szCs w:val="24"/>
        </w:rPr>
        <w:t>Tartalmazza a költségvetés végrehajtásából adódó bevételi és kiadási főösszegek teljesítési adatait.</w:t>
      </w:r>
    </w:p>
    <w:p w14:paraId="27B8860E" w14:textId="77777777" w:rsidR="00AF5851" w:rsidRDefault="00AF5851" w:rsidP="00AF5851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  <w:sz w:val="24"/>
          <w:szCs w:val="24"/>
        </w:rPr>
        <w:t xml:space="preserve">A 4. §-hoz </w:t>
      </w:r>
    </w:p>
    <w:p w14:paraId="6CFBA08C" w14:textId="77777777" w:rsidR="00AF5851" w:rsidRDefault="00AF5851" w:rsidP="00AF5851">
      <w:pPr>
        <w:pStyle w:val="Szvegtrzs"/>
        <w:spacing w:after="160"/>
      </w:pPr>
      <w:r>
        <w:rPr>
          <w:szCs w:val="24"/>
        </w:rPr>
        <w:t>A rendelet mellékleteinek tartalmára vonatkozó szabályozást tartalmazza.</w:t>
      </w:r>
    </w:p>
    <w:p w14:paraId="0C4B166B" w14:textId="77777777" w:rsidR="00AF5851" w:rsidRDefault="00AF5851" w:rsidP="00AF5851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  <w:sz w:val="24"/>
          <w:szCs w:val="24"/>
        </w:rPr>
        <w:t xml:space="preserve">Az 5. §-hoz </w:t>
      </w:r>
    </w:p>
    <w:p w14:paraId="37A7CE94" w14:textId="77777777" w:rsidR="00AF5851" w:rsidRDefault="00AF5851" w:rsidP="00AF5851">
      <w:pPr>
        <w:pStyle w:val="Szvegtrzs"/>
        <w:spacing w:after="160"/>
      </w:pPr>
      <w:r>
        <w:rPr>
          <w:szCs w:val="24"/>
        </w:rPr>
        <w:t>Szükséges a költségvetési szerveket tájékoztatni arról, hogy a zárszámadás elfogadásra került és hogy a költségvetési maradványt a Képviselő-testület jóváhagyta.</w:t>
      </w:r>
    </w:p>
    <w:p w14:paraId="3BACD716" w14:textId="77777777" w:rsidR="00AF5851" w:rsidRDefault="00AF5851" w:rsidP="00AF5851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  <w:sz w:val="24"/>
          <w:szCs w:val="24"/>
        </w:rPr>
        <w:t xml:space="preserve">A 6. §-hoz </w:t>
      </w:r>
    </w:p>
    <w:p w14:paraId="70C4403B" w14:textId="77777777" w:rsidR="00AF5851" w:rsidRDefault="00AF5851" w:rsidP="00AF5851">
      <w:pPr>
        <w:pStyle w:val="Szvegtrzs"/>
        <w:spacing w:after="160"/>
      </w:pPr>
      <w:r>
        <w:rPr>
          <w:szCs w:val="24"/>
        </w:rPr>
        <w:t>A 2025. évi költségvetési rendelet és a 2024. évi zárszámadási rendelet hatályon kívül helyezéséről szól.</w:t>
      </w:r>
    </w:p>
    <w:p w14:paraId="33E0FE16" w14:textId="77777777" w:rsidR="00AF5851" w:rsidRDefault="00AF5851" w:rsidP="00AF5851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  <w:sz w:val="24"/>
          <w:szCs w:val="24"/>
        </w:rPr>
        <w:t xml:space="preserve">A 7. §-hoz </w:t>
      </w:r>
    </w:p>
    <w:p w14:paraId="59806623" w14:textId="77777777" w:rsidR="00AF5851" w:rsidRDefault="00AF5851" w:rsidP="00AF5851">
      <w:pPr>
        <w:pStyle w:val="Szvegtrzs"/>
        <w:spacing w:after="160"/>
      </w:pPr>
      <w:r>
        <w:rPr>
          <w:szCs w:val="24"/>
        </w:rPr>
        <w:t>E rendelet hatálybalépéséről szól.</w:t>
      </w:r>
    </w:p>
    <w:p w14:paraId="1BABF237" w14:textId="77777777" w:rsidR="00AF5851" w:rsidRPr="005032BA" w:rsidRDefault="00AF5851" w:rsidP="005032BA">
      <w:pPr>
        <w:tabs>
          <w:tab w:val="center" w:pos="2268"/>
          <w:tab w:val="center" w:pos="6804"/>
        </w:tabs>
        <w:jc w:val="both"/>
        <w:rPr>
          <w:b/>
          <w:sz w:val="24"/>
        </w:rPr>
      </w:pPr>
    </w:p>
    <w:sectPr w:rsidR="00AF5851" w:rsidRPr="005032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D769" w14:textId="77777777" w:rsidR="00AF5851" w:rsidRDefault="00AF585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5F26" w14:textId="77777777" w:rsidR="00AF5851" w:rsidRDefault="00AF585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97C40" w14:textId="77777777" w:rsidR="00AF5851" w:rsidRDefault="00AF585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7847" w14:textId="77777777" w:rsidR="00AF5851" w:rsidRDefault="00AF585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3B22" w14:textId="77777777" w:rsidR="00AF5851" w:rsidRDefault="00AF585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917" w:type="dxa"/>
      <w:jc w:val="right"/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5883"/>
      <w:gridCol w:w="1034"/>
    </w:tblGrid>
    <w:tr w:rsidR="00AF5851" w14:paraId="291B78FA" w14:textId="77777777">
      <w:trPr>
        <w:cantSplit/>
        <w:jc w:val="right"/>
      </w:trPr>
      <w:tc>
        <w:tcPr>
          <w:tcW w:w="5883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 w14:paraId="51728268" w14:textId="77777777" w:rsidR="00AF5851" w:rsidRDefault="00AF5851">
          <w:pPr>
            <w:pStyle w:val="TableContents"/>
            <w:pageBreakBefore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Az iromány az Integrált Jogalkotási Rendszerben készült.</w:t>
          </w:r>
        </w:p>
        <w:p w14:paraId="3101A234" w14:textId="77777777" w:rsidR="00AF5851" w:rsidRDefault="00AF5851">
          <w:pPr>
            <w:pStyle w:val="TableContents"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IJR azonosító: LL-118544174-1</w:t>
          </w:r>
        </w:p>
        <w:p w14:paraId="26B8773D" w14:textId="77777777" w:rsidR="00AF5851" w:rsidRDefault="00AF5851">
          <w:pPr>
            <w:pStyle w:val="TableContents"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Készült: 2026.05.27. 10:24</w:t>
          </w:r>
        </w:p>
        <w:p w14:paraId="0DC32A8B" w14:textId="77777777" w:rsidR="00AF5851" w:rsidRDefault="00AF5851">
          <w:pPr>
            <w:pStyle w:val="TableContents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Nyomtatta: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noProof/>
              <w:color w:val="808080"/>
              <w:sz w:val="20"/>
              <w:szCs w:val="20"/>
            </w:rPr>
            <w:drawing>
              <wp:anchor distT="0" distB="0" distL="0" distR="0" simplePos="0" relativeHeight="251659264" behindDoc="0" locked="0" layoutInCell="0" allowOverlap="1" wp14:anchorId="21DB4910" wp14:editId="748EBB6F">
                <wp:simplePos x="0" y="0"/>
                <wp:positionH relativeFrom="column">
                  <wp:posOffset>3742690</wp:posOffset>
                </wp:positionH>
                <wp:positionV relativeFrom="paragraph">
                  <wp:posOffset>-443865</wp:posOffset>
                </wp:positionV>
                <wp:extent cx="603885" cy="598170"/>
                <wp:effectExtent l="0" t="0" r="0" b="0"/>
                <wp:wrapNone/>
                <wp:docPr id="2" name="QR-kó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QR-kó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885" cy="598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  <w:color w:val="808080"/>
              <w:sz w:val="20"/>
              <w:szCs w:val="20"/>
            </w:rPr>
            <w:t>Köblös Máté</w:t>
          </w:r>
        </w:p>
      </w:tc>
      <w:tc>
        <w:tcPr>
          <w:tcW w:w="103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1343BFA3" w14:textId="77777777" w:rsidR="00AF5851" w:rsidRDefault="00AF5851">
          <w:pPr>
            <w:pStyle w:val="TableContents"/>
          </w:pPr>
        </w:p>
      </w:tc>
    </w:tr>
  </w:tbl>
  <w:p w14:paraId="1DFCE178" w14:textId="77777777" w:rsidR="00AF5851" w:rsidRDefault="00AF585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BA"/>
    <w:rsid w:val="0031327F"/>
    <w:rsid w:val="00445089"/>
    <w:rsid w:val="005032BA"/>
    <w:rsid w:val="005B12F6"/>
    <w:rsid w:val="005F0DCF"/>
    <w:rsid w:val="00A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6F6A"/>
  <w15:chartTrackingRefBased/>
  <w15:docId w15:val="{05A51FB9-BC5B-40A0-946C-400709D5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032B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032BA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032BA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032BA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032BA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032BA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032BA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032BA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032BA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032BA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03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03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032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032B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032B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032B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032B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032B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032B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032B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503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032BA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503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032BA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5032B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032B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5032B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03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032B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032BA"/>
    <w:rPr>
      <w:b/>
      <w:bCs/>
      <w:smallCaps/>
      <w:color w:val="2F5496" w:themeColor="accent1" w:themeShade="BF"/>
      <w:spacing w:val="5"/>
    </w:rPr>
  </w:style>
  <w:style w:type="paragraph" w:styleId="Szvegtrzs">
    <w:name w:val="Body Text"/>
    <w:basedOn w:val="Norml"/>
    <w:link w:val="SzvegtrzsChar"/>
    <w:rsid w:val="005032BA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5032BA"/>
    <w:rPr>
      <w:rFonts w:ascii="Times New Roman" w:eastAsia="Times New Roman" w:hAnsi="Times New Roman" w:cs="Times New Roman"/>
      <w:kern w:val="0"/>
      <w:sz w:val="24"/>
      <w:szCs w:val="20"/>
      <w:lang/>
      <w14:ligatures w14:val="none"/>
    </w:rPr>
  </w:style>
  <w:style w:type="paragraph" w:customStyle="1" w:styleId="TableContents">
    <w:name w:val="Table Contents"/>
    <w:basedOn w:val="Norml"/>
    <w:qFormat/>
    <w:rsid w:val="00AF5851"/>
    <w:pPr>
      <w:suppressLineNumbers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AF5851"/>
    <w:pPr>
      <w:suppressLineNumbers/>
      <w:tabs>
        <w:tab w:val="center" w:pos="4819"/>
        <w:tab w:val="right" w:pos="9638"/>
      </w:tabs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rsid w:val="00AF5851"/>
    <w:rPr>
      <w:rFonts w:ascii="Liberation Serif" w:eastAsia="Noto Serif CJK SC" w:hAnsi="Liberation Serif" w:cs="Lohit Devanagari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713</Words>
  <Characters>4923</Characters>
  <Application>Microsoft Office Word</Application>
  <DocSecurity>0</DocSecurity>
  <Lines>41</Lines>
  <Paragraphs>11</Paragraphs>
  <ScaleCrop>false</ScaleCrop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Máté Köblös</dc:creator>
  <cp:keywords/>
  <dc:description/>
  <cp:lastModifiedBy>Máté Köblös</cp:lastModifiedBy>
  <cp:revision>2</cp:revision>
  <dcterms:created xsi:type="dcterms:W3CDTF">2026-05-27T06:43:00Z</dcterms:created>
  <dcterms:modified xsi:type="dcterms:W3CDTF">2026-05-27T08:26:00Z</dcterms:modified>
</cp:coreProperties>
</file>