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6F" w:rsidRPr="000F486F" w:rsidRDefault="000F486F" w:rsidP="000F4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0F486F" w:rsidRPr="000F486F" w:rsidRDefault="000F486F" w:rsidP="000F4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0F486F" w:rsidRPr="000F486F" w:rsidRDefault="000F486F" w:rsidP="000F4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281</w:t>
      </w:r>
      <w:r w:rsidRPr="000F4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/2024. (X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.24</w:t>
      </w:r>
      <w:r w:rsidRPr="000F4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0F486F" w:rsidRPr="000F486F" w:rsidRDefault="000F486F" w:rsidP="000F4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F4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0F486F" w:rsidRPr="000F486F" w:rsidRDefault="000F486F" w:rsidP="000F4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F486F" w:rsidRPr="000F486F" w:rsidRDefault="000F486F" w:rsidP="000F4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Nyíregyházi Tankerületi Központtal kötött vagyonkezelési szerződés módosításáról </w:t>
      </w:r>
    </w:p>
    <w:p w:rsidR="000F486F" w:rsidRPr="000F486F" w:rsidRDefault="000F486F" w:rsidP="000F48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0F486F" w:rsidRPr="000F486F" w:rsidRDefault="000F486F" w:rsidP="000F48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486F" w:rsidRPr="000F486F" w:rsidRDefault="000F486F" w:rsidP="000F48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Város Önkormányzata és a Nyíregyházi Tankerületi Központ közötti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vagyonkezelési szerződés 4. számú módosítását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mellyel a 4440 Tiszavasvári, Vasvári Pál u. 97/</w:t>
      </w:r>
      <w:proofErr w:type="gramStart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szám alatti ingatlan – az ingatlanban lévő köznevelési feladatellátás megszűnés miatt – kikerül a Nyíregyházi Tankerületi Központ vagyonkezeléséből, az ingatlan visszaadásra kerül Tiszavasvári Város Önkormányzata részére.</w:t>
      </w: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486F" w:rsidRPr="000F486F" w:rsidRDefault="000F486F" w:rsidP="000F48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vagyonkezelési szerződés 4. számú módosítása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számú mellékletét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képező a Tiszavasvári </w:t>
      </w:r>
      <w:proofErr w:type="spellStart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Általános Iskola Vasvári Pál utca 97/</w:t>
      </w:r>
      <w:proofErr w:type="gramStart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telephely vagyonkezelésből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visszaadásra kerülő ingó vagyon tételes listát a 2024. augusztus 27. napján készített rendkívüli leltárjegyzék figyelembevételével.</w:t>
      </w: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486F" w:rsidRPr="000F486F" w:rsidRDefault="000F486F" w:rsidP="000F48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vagyonkezelési szerződés 4. számú módosítása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számú mellékletét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képező a Tiszavasvári </w:t>
      </w:r>
      <w:proofErr w:type="spellStart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Általános Iskola Vasvári Pál utca 97/</w:t>
      </w:r>
      <w:proofErr w:type="gramStart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telephely vagyonkezelésből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visszaadásra kerülő ingatlanvagyon tételes listát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486F" w:rsidRPr="000F486F" w:rsidRDefault="000F486F" w:rsidP="000F48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 a vagyonkezelési szerződés módosításának aláírására.</w:t>
      </w: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proofErr w:type="gramStart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                                                    Felelős</w:t>
      </w:r>
      <w:proofErr w:type="gramEnd"/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: Balázsi Csilla polgármester</w:t>
      </w:r>
    </w:p>
    <w:p w:rsidR="000F486F" w:rsidRDefault="000F486F" w:rsidP="000F486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486F" w:rsidRDefault="000F486F" w:rsidP="000F486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486F" w:rsidRDefault="000F486F" w:rsidP="000F486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486F" w:rsidRPr="000F486F" w:rsidRDefault="000F486F" w:rsidP="000F486F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Balázsi </w:t>
      </w:r>
      <w:proofErr w:type="gramStart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Csilla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0F486F" w:rsidRPr="000F486F" w:rsidRDefault="000F486F" w:rsidP="000F486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</w:t>
      </w:r>
      <w:proofErr w:type="gramStart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</w:t>
      </w:r>
      <w:r w:rsidRPr="000F48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281</w:t>
      </w:r>
      <w:r w:rsidRPr="000F486F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/2024.(X.24.) Kt. számú határozat melléklete</w:t>
      </w:r>
    </w:p>
    <w:p w:rsidR="000F486F" w:rsidRPr="000F486F" w:rsidRDefault="000F486F" w:rsidP="000F486F">
      <w:pPr>
        <w:spacing w:after="150" w:line="231" w:lineRule="auto"/>
        <w:ind w:left="528" w:right="593"/>
        <w:jc w:val="center"/>
        <w:rPr>
          <w:rFonts w:ascii="Times New Roman" w:eastAsia="Times New Roman" w:hAnsi="Times New Roman" w:cs="Times New Roman"/>
          <w:b/>
          <w:color w:val="000000"/>
          <w:sz w:val="40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40"/>
          <w:lang w:eastAsia="hu-HU"/>
        </w:rPr>
        <w:t>VAGYONKEZELÉSI SZERZŐDÉS</w:t>
      </w:r>
    </w:p>
    <w:p w:rsidR="000F486F" w:rsidRPr="000F486F" w:rsidRDefault="000F486F" w:rsidP="000F486F">
      <w:pPr>
        <w:spacing w:after="150" w:line="231" w:lineRule="auto"/>
        <w:ind w:left="618" w:right="593"/>
        <w:jc w:val="center"/>
        <w:rPr>
          <w:rFonts w:ascii="Times New Roman" w:eastAsia="Times New Roman" w:hAnsi="Times New Roman" w:cs="Times New Roman"/>
          <w:b/>
          <w:color w:val="000000"/>
          <w:sz w:val="40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40"/>
          <w:lang w:eastAsia="hu-HU"/>
        </w:rPr>
        <w:t>4. számú módosítása</w:t>
      </w:r>
    </w:p>
    <w:p w:rsidR="000F486F" w:rsidRPr="000F486F" w:rsidRDefault="000F486F" w:rsidP="000F486F">
      <w:pPr>
        <w:spacing w:after="268" w:line="247" w:lineRule="auto"/>
        <w:ind w:left="60" w:right="7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amely létrejött egyrészről </w:t>
      </w: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</w:t>
      </w:r>
      <w:proofErr w:type="gramEnd"/>
    </w:p>
    <w:p w:rsidR="000F486F" w:rsidRPr="000F486F" w:rsidRDefault="000F486F" w:rsidP="000F486F">
      <w:pPr>
        <w:spacing w:after="0" w:line="247" w:lineRule="auto"/>
        <w:ind w:left="39" w:right="3600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Tiszavasvári Város Önkormányzata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 xml:space="preserve">székhelye: 4440 Tiszavasvári, Városháza tér 4. 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képviseli: Balázsi Csilla Polgármester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törzsszáma: 732462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adóigazgatási azonosító száma: 15732468-2-15 bankszámlaszáma: 11744144-15404761</w:t>
      </w:r>
    </w:p>
    <w:p w:rsidR="000F486F" w:rsidRPr="000F486F" w:rsidRDefault="000F486F" w:rsidP="000F486F">
      <w:pPr>
        <w:spacing w:after="0" w:line="247" w:lineRule="auto"/>
        <w:ind w:left="57" w:right="2268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KSH statisztik</w:t>
      </w:r>
      <w:r w:rsidRPr="000F486F">
        <w:rPr>
          <w:rFonts w:ascii="Times New Roman" w:eastAsia="Times New Roman" w:hAnsi="Times New Roman" w:cs="Times New Roman"/>
          <w:sz w:val="24"/>
          <w:lang w:eastAsia="hu-HU"/>
        </w:rPr>
        <w:t>a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i számjele: </w:t>
      </w: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15732468-8411-321-15</w:t>
      </w:r>
      <w:proofErr w:type="gram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 xml:space="preserve">mint Átadó (a továbbiakban: </w:t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Átadó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vagy </w:t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Önkormányzat 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), valamint </w:t>
      </w:r>
    </w:p>
    <w:p w:rsidR="000F486F" w:rsidRPr="000F486F" w:rsidRDefault="000F486F" w:rsidP="000F486F">
      <w:pPr>
        <w:spacing w:after="0" w:line="247" w:lineRule="auto"/>
        <w:ind w:left="57" w:right="3600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13" w:line="247" w:lineRule="auto"/>
        <w:ind w:left="39" w:right="4394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Nyíregyházi Tankerületi Központ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székhelye: 4400 Nyíregyháza, Sóstói út 31/B.</w:t>
      </w:r>
    </w:p>
    <w:p w:rsidR="000F486F" w:rsidRPr="000F486F" w:rsidRDefault="000F486F" w:rsidP="000F486F">
      <w:pPr>
        <w:spacing w:after="13" w:line="247" w:lineRule="auto"/>
        <w:ind w:left="39" w:right="1624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képviseli: Pécsi Beáta Ágnes tankerületi </w:t>
      </w: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központ igazgató</w:t>
      </w:r>
      <w:proofErr w:type="gram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</w:p>
    <w:p w:rsidR="000F486F" w:rsidRPr="000F486F" w:rsidRDefault="000F486F" w:rsidP="000F486F">
      <w:pPr>
        <w:spacing w:after="13" w:line="247" w:lineRule="auto"/>
        <w:ind w:left="39" w:right="1624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adóigazgatási</w:t>
      </w:r>
      <w:proofErr w:type="gram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azonosító száma: 15835334-2-15</w:t>
      </w:r>
    </w:p>
    <w:p w:rsidR="000F486F" w:rsidRPr="000F486F" w:rsidRDefault="000F486F" w:rsidP="000F486F">
      <w:pPr>
        <w:spacing w:after="13" w:line="247" w:lineRule="auto"/>
        <w:ind w:left="39" w:right="1243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előirányzat-felhasználási</w:t>
      </w:r>
      <w:proofErr w:type="gram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keretszámla száma: 10044001-00336853-00000000 ÁHT azonosítója: 361695</w:t>
      </w:r>
    </w:p>
    <w:p w:rsidR="000F486F" w:rsidRPr="000F486F" w:rsidRDefault="000F486F" w:rsidP="000F486F">
      <w:pPr>
        <w:spacing w:after="267" w:line="247" w:lineRule="auto"/>
        <w:ind w:left="39" w:right="3118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KSH statisztikai számjele: </w:t>
      </w: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15835334-8412-312-15</w:t>
      </w:r>
      <w:proofErr w:type="gram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mint átvevő (a továbbiakban: </w:t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Átvevő 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vagy</w:t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Tankerület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)</w:t>
      </w:r>
    </w:p>
    <w:p w:rsidR="000F486F" w:rsidRPr="000F486F" w:rsidRDefault="000F486F" w:rsidP="000F486F">
      <w:pPr>
        <w:spacing w:after="819" w:line="247" w:lineRule="auto"/>
        <w:ind w:left="46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(a továbbiakban együtt: </w:t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Felek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) között alulírott helyen és napon a következő feltételekkel:</w:t>
      </w:r>
    </w:p>
    <w:p w:rsidR="000F486F" w:rsidRPr="000F486F" w:rsidRDefault="000F486F" w:rsidP="000F486F">
      <w:pPr>
        <w:numPr>
          <w:ilvl w:val="0"/>
          <w:numId w:val="3"/>
        </w:numPr>
        <w:spacing w:before="120" w:after="120" w:line="247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Előzménye</w:t>
      </w:r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</w:t>
      </w:r>
    </w:p>
    <w:p w:rsidR="000F486F" w:rsidRPr="000F486F" w:rsidRDefault="000F486F" w:rsidP="000F486F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nemzeti köznevelésről szóló 2011. évi CXC. törvény (a továbbiakban: </w:t>
      </w:r>
      <w:proofErr w:type="spellStart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Nkt</w:t>
      </w:r>
      <w:proofErr w:type="spellEnd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.) 74.§ (1) bekezdése alapján 2013. január 1-jétől </w:t>
      </w:r>
      <w:r w:rsidRPr="000F486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„Az állam gondoskodik – az óvodai nevelés, a nemzetiséghez tartozók óvodai nevelése, a többi gyermekkel együtt nevelhető, sajátos nevelési igényű gyermekek óvodai nevelése kivételével – a köznevelési alapfeladatok ellátásáról.”</w:t>
      </w:r>
    </w:p>
    <w:p w:rsidR="000F486F" w:rsidRPr="000F486F" w:rsidRDefault="000F486F" w:rsidP="000F486F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</w:t>
      </w:r>
      <w:proofErr w:type="spellStart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Nkt</w:t>
      </w:r>
      <w:proofErr w:type="spellEnd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76/B.§, valamint köznevelési feladatot ellátó egyes önkormányzati fenntartású intézmények állami fenntartásba vételéről szóló 2012. évi CLXXXVIII. törvény 8.§ (1) bekezdés b) pontja alapján az Önkormányzat tulajdonában levő, az </w:t>
      </w:r>
      <w:proofErr w:type="gramStart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intézmény(</w:t>
      </w:r>
      <w:proofErr w:type="spellStart"/>
      <w:proofErr w:type="gramEnd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</w:t>
      </w:r>
      <w:proofErr w:type="spellEnd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 feladatainak ellátását szolgáló ingatlan és ingó vagyon – ideértve a taneszközöket, továbbá az intézmény(</w:t>
      </w:r>
      <w:proofErr w:type="spellStart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</w:t>
      </w:r>
      <w:proofErr w:type="spellEnd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  <w:proofErr w:type="spellStart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ben</w:t>
      </w:r>
      <w:proofErr w:type="spellEnd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levő eszközöket, felszereléseket –, a Nyíregyházi Tankerületi Központ </w:t>
      </w:r>
      <w:proofErr w:type="gramStart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ingyenes</w:t>
      </w:r>
      <w:proofErr w:type="gramEnd"/>
      <w:r w:rsidRPr="000F4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vagyonkezelésébe kerül. 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Felek rögzítik, hogy a Nyíregyházi Tankerületi Központ és Tiszavasvári Város Önkormányzata között vagyonkezelési szerződés jött létre. </w:t>
      </w:r>
    </w:p>
    <w:p w:rsidR="000F486F" w:rsidRPr="000F486F" w:rsidRDefault="000F486F" w:rsidP="000F486F">
      <w:pPr>
        <w:numPr>
          <w:ilvl w:val="0"/>
          <w:numId w:val="2"/>
        </w:numPr>
        <w:spacing w:after="264" w:line="247" w:lineRule="auto"/>
        <w:ind w:right="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Szerződésmódosítás tárgya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 felek rögzítik, hogy közöttük 2013. február 14. napján kelt Vagyonkezelési Szerződést felülvizsgálták. Felek a Vagyonkezelési szerződés </w:t>
      </w: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„</w:t>
      </w:r>
      <w:proofErr w:type="gramStart"/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A</w:t>
      </w:r>
      <w:proofErr w:type="gramEnd"/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szerződés tárgya”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c. pontját módosítják a szerződés 24. pontjában foglaltakra tekintettel.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lastRenderedPageBreak/>
        <w:t xml:space="preserve">A vagyonkezelési szerződés 24. pontja alapján az átvevő vagyonkezelésébe adott, a köznevelési feladat ellátáshoz véglegesen feleslegessé vált vagyont beleértve a rendeltetésszerű használat mellett elhasználódott vagy elavult eszközöket is köteles az Önkormányzat részére visszaadni, aki köteles azt visszavenni. A Nyíregyházi Tankerületi Központ a rendeltetésszerű használat mellett elhasználódott vagy elavult eszközök kivételével az egyéb vagyont rendeltetésszerű használatra alkalmas állapotban köteles visszaadni az Önkormányzatnak. 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 Nyíregyházi Tankerületi Központot az önkormányzati tulajdonú ingatlan és ingó vagyonra vonatkozóan ingyenes vagyonkezelői jog illeti meg mindaddig, amíg a köznevelési közfeladat a tankerületi központ részéről történő ellátása az adott ingatlanban meg nem szűnik.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 köznevelési közfeladat ellátásának 4440 Tiszavasvári, Vasvári Pál utca 97/</w:t>
      </w: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</w:t>
      </w:r>
      <w:proofErr w:type="gram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. számú ingatlanban történő megszűnésére tekintettel a Nyíregyházi Tankerületi Központ a fent nevezett ingatlant visszaadja az Önkormányzatnak.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Felek a fent megnevezett Vagyonkezelési szerződést 2024. november 1. napjától az alábbiak szerint módosítják:</w:t>
      </w:r>
    </w:p>
    <w:p w:rsidR="000F486F" w:rsidRPr="000F486F" w:rsidRDefault="000F486F" w:rsidP="000F486F">
      <w:pPr>
        <w:spacing w:after="264" w:line="247" w:lineRule="auto"/>
        <w:ind w:left="1483" w:right="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                                        „A szerződés tárgya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A Felek megállapodnak, hogy a vagyonkezelési szerződés 1. pontja Szerződés tárgyú számú mellékletében felsorolt ingatlan vagyon tekintetében a Szabolcs- Szatmár- Bereg Megyei Pedagógiai Szakszolgálat Tiszavasvári Tagintézménye a továbbiakban a </w:t>
      </w:r>
      <w:r w:rsidRPr="000F486F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4440 Tiszavasvári, Hétvezér utca 19. szám</w:t>
      </w: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alatt a Tiszavasvári Váci Mihály Gimnázium épületében kerül elhelyezésre 208,32 m2 alapterületen, három helyiségében (foglalkoztató szoba) és egy közlekedőben valamint hozzátartozó kiszolgáló helyiségekben kap helyet.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Átvevő a fent nevezett ingatlanra vonatkozó vagyonkezelői jogát az ingatlan-nyilvántartásba bejegyezteti, melyhez az Önkormányzat feltétlen és visszavonhatatlan hozzájárulását adja. Felek megállapodnak, hogy a vagyonkezelői jog ingatlan-nyilvántartásba történő bejegyzéséről, valamint annak esetleges módosításáról, törléséről az Átvevő köteles gondoskodni, az ezzel kapcsolatosan felmerülő mindennemű költséget az Átvevő köteles viselni.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Felek megállapodnak, hogy a vagyonkezelési szerződés 7. számú mellékletében felsorolt ingatlan vagyon tekintetében törlésre kerül a </w:t>
      </w:r>
      <w:r w:rsidRPr="000F486F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4440 Tiszavasvári, Vasvári Pál utca 97/</w:t>
      </w:r>
      <w:proofErr w:type="gramStart"/>
      <w:r w:rsidRPr="000F486F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A</w:t>
      </w:r>
      <w:proofErr w:type="gramEnd"/>
      <w:r w:rsidRPr="000F486F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.</w:t>
      </w: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szám alatti ingatlan, illetve az ingatlanhoz tartozó ingó vagyon tekintettel arra, hogy a továbbiakban az ingatlan nem szolgál köznevelési feladat ellátás helyéül.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Felek rögzítik, hogy a </w:t>
      </w:r>
      <w:r w:rsidRPr="000F486F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4440 Tiszavasvári, Vasvári Pál utca 97/</w:t>
      </w:r>
      <w:proofErr w:type="gramStart"/>
      <w:r w:rsidRPr="000F486F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A</w:t>
      </w:r>
      <w:proofErr w:type="gramEnd"/>
      <w:r w:rsidRPr="000F486F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.</w:t>
      </w:r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szám alatt található ingatlan 2024. október 31. napjáig keletkezett költségei a Tankerületet terhelik, a továbbiakban a fent nevezett ingatlanra vonatkozóan egyik fél sem tart fenn további követelést a másikkal szemben. Az elszámolás a rögzített mérőóra állások alapján történik.(3. </w:t>
      </w:r>
      <w:proofErr w:type="gramStart"/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sz.</w:t>
      </w:r>
      <w:proofErr w:type="gramEnd"/>
      <w:r w:rsidRPr="000F486F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melléklet)”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</w:p>
    <w:p w:rsidR="000F486F" w:rsidRPr="000F486F" w:rsidRDefault="000F486F" w:rsidP="000F486F">
      <w:pPr>
        <w:numPr>
          <w:ilvl w:val="0"/>
          <w:numId w:val="2"/>
        </w:numPr>
        <w:spacing w:after="264" w:line="247" w:lineRule="auto"/>
        <w:ind w:right="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Záró rendelkezések</w:t>
      </w:r>
    </w:p>
    <w:p w:rsidR="000F486F" w:rsidRPr="000F486F" w:rsidRDefault="000F486F" w:rsidP="000F486F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 felek megállapodnak, hogy jelen szerződés mellékletét képezi a módosítás következtében létrejött Nyíregyházi Tankerületi Központ vagyonkezeléséből visszaadásra kerülő ingó vagyon tételes listája (1. számú melléklet), 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 Vagyonkezelési szerződés jelen módosítással nem érintett egyéb rendelkezései és mellékletei továbbra is változatlanul hatályba maradnak.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Jelen szerződés a mellékletével együtt érvényes. Jelen szerződésmódosításra egyebekben a Ptk. rendelkezései az irányadók.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Szerződő felek jelen szerződést együttesen elolvasták és közös értelmezést követően, mint akaratukkal mindenben megegyezőt cégszerűen aláírták.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Jelen szerződésmódosítás 4 egymással mindenben megegyező példányban készült, amelyből 2 példány az Átvevőt, és 2 példány az Átadót illeti meg.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Melléklet: 1. számú melléklet: Ingó vagyon listája</w:t>
      </w:r>
    </w:p>
    <w:p w:rsidR="000F486F" w:rsidRPr="000F486F" w:rsidRDefault="000F486F" w:rsidP="000F486F">
      <w:pPr>
        <w:spacing w:after="13" w:line="247" w:lineRule="auto"/>
        <w:ind w:left="768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      2. számú melléklet: ingatlan vagyon listája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                  3. számú melléklet: Jegyzőkönyv mérőórákról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43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Tiszavasvári,2024</w:t>
      </w: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…………….</w:t>
      </w:r>
      <w:proofErr w:type="gram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>Nyíregyháza, 2024</w:t>
      </w:r>
      <w:proofErr w:type="gram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………………..</w:t>
      </w:r>
      <w:proofErr w:type="gramEnd"/>
    </w:p>
    <w:p w:rsidR="000F486F" w:rsidRPr="000F486F" w:rsidRDefault="000F486F" w:rsidP="000F486F">
      <w:pPr>
        <w:spacing w:after="43" w:line="247" w:lineRule="auto"/>
        <w:ind w:left="68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……………………………………….          </w:t>
      </w: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            ……………………………………                </w:t>
      </w:r>
    </w:p>
    <w:p w:rsidR="000F486F" w:rsidRPr="000F486F" w:rsidRDefault="000F486F" w:rsidP="000F486F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Tiszavasvári Város </w:t>
      </w:r>
      <w:proofErr w:type="gramStart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Önkormányzata</w:t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Nyíregyházi</w:t>
      </w:r>
      <w:proofErr w:type="gramEnd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Tankerületi Központ</w:t>
      </w:r>
    </w:p>
    <w:p w:rsidR="000F486F" w:rsidRPr="000F486F" w:rsidRDefault="000F486F" w:rsidP="000F486F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</w:t>
      </w:r>
      <w:proofErr w:type="gramStart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képviseli</w:t>
      </w:r>
      <w:proofErr w:type="gramEnd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</w:t>
      </w:r>
      <w:proofErr w:type="spellStart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képviseli</w:t>
      </w:r>
      <w:proofErr w:type="spellEnd"/>
    </w:p>
    <w:p w:rsidR="000F486F" w:rsidRPr="000F486F" w:rsidRDefault="000F486F" w:rsidP="000F486F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Balázsi </w:t>
      </w:r>
      <w:proofErr w:type="gramStart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Csilla                                           </w:t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  Pécsi</w:t>
      </w:r>
      <w:proofErr w:type="gramEnd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Beáta Ágnes</w:t>
      </w:r>
    </w:p>
    <w:p w:rsidR="000F486F" w:rsidRPr="000F486F" w:rsidRDefault="000F486F" w:rsidP="000F486F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</w:t>
      </w:r>
      <w:proofErr w:type="gramStart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  <w:r w:rsidRPr="000F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tankerületi igazgató</w:t>
      </w:r>
    </w:p>
    <w:p w:rsidR="000F486F" w:rsidRPr="000F486F" w:rsidRDefault="000F486F" w:rsidP="000F486F">
      <w:pPr>
        <w:spacing w:after="77" w:line="247" w:lineRule="auto"/>
        <w:ind w:left="1717" w:hanging="287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8"/>
          <w:lang w:eastAsia="hu-HU"/>
        </w:rPr>
        <w:tab/>
      </w:r>
      <w:r w:rsidRPr="000F486F">
        <w:rPr>
          <w:rFonts w:ascii="Times New Roman" w:eastAsia="Times New Roman" w:hAnsi="Times New Roman" w:cs="Times New Roman"/>
          <w:color w:val="000000"/>
          <w:sz w:val="28"/>
          <w:lang w:eastAsia="hu-HU"/>
        </w:rPr>
        <w:tab/>
      </w:r>
    </w:p>
    <w:p w:rsidR="000F486F" w:rsidRPr="000F486F" w:rsidRDefault="000F486F" w:rsidP="000F486F">
      <w:pPr>
        <w:tabs>
          <w:tab w:val="center" w:pos="1240"/>
          <w:tab w:val="center" w:pos="5865"/>
        </w:tabs>
        <w:spacing w:after="13" w:line="247" w:lineRule="auto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</w:p>
    <w:p w:rsidR="000F486F" w:rsidRPr="000F486F" w:rsidRDefault="000F486F" w:rsidP="000F486F">
      <w:pPr>
        <w:tabs>
          <w:tab w:val="center" w:pos="1240"/>
          <w:tab w:val="center" w:pos="5865"/>
        </w:tabs>
        <w:spacing w:after="13" w:line="247" w:lineRule="auto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                                    </w:t>
      </w:r>
      <w:bookmarkStart w:id="0" w:name="_GoBack"/>
      <w:bookmarkEnd w:id="0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        Jogilag </w:t>
      </w:r>
      <w:proofErr w:type="spellStart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ellenjegyzem</w:t>
      </w:r>
      <w:proofErr w:type="spellEnd"/>
      <w:r w:rsidRPr="000F486F">
        <w:rPr>
          <w:rFonts w:ascii="Times New Roman" w:eastAsia="Times New Roman" w:hAnsi="Times New Roman" w:cs="Times New Roman"/>
          <w:color w:val="000000"/>
          <w:sz w:val="24"/>
          <w:lang w:eastAsia="hu-HU"/>
        </w:rPr>
        <w:t>:</w:t>
      </w:r>
    </w:p>
    <w:p w:rsidR="000F486F" w:rsidRPr="000F486F" w:rsidRDefault="000F486F" w:rsidP="000F486F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0F486F" w:rsidRPr="000F486F" w:rsidRDefault="000F486F" w:rsidP="000F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47D" w:rsidRDefault="000F486F"/>
    <w:sectPr w:rsidR="00D7647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088416"/>
      <w:docPartObj>
        <w:docPartGallery w:val="Page Numbers (Bottom of Page)"/>
        <w:docPartUnique/>
      </w:docPartObj>
    </w:sdtPr>
    <w:sdtEndPr/>
    <w:sdtContent>
      <w:p w:rsidR="00C51A07" w:rsidRDefault="000F486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51A07" w:rsidRDefault="000F486F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4AB2"/>
    <w:multiLevelType w:val="hybridMultilevel"/>
    <w:tmpl w:val="F20A080E"/>
    <w:lvl w:ilvl="0" w:tplc="AAFCF336">
      <w:start w:val="2"/>
      <w:numFmt w:val="upperRoman"/>
      <w:lvlText w:val="%1."/>
      <w:lvlJc w:val="left"/>
      <w:pPr>
        <w:ind w:left="148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3" w:hanging="360"/>
      </w:pPr>
    </w:lvl>
    <w:lvl w:ilvl="2" w:tplc="040E001B" w:tentative="1">
      <w:start w:val="1"/>
      <w:numFmt w:val="lowerRoman"/>
      <w:lvlText w:val="%3."/>
      <w:lvlJc w:val="right"/>
      <w:pPr>
        <w:ind w:left="2563" w:hanging="180"/>
      </w:pPr>
    </w:lvl>
    <w:lvl w:ilvl="3" w:tplc="040E000F" w:tentative="1">
      <w:start w:val="1"/>
      <w:numFmt w:val="decimal"/>
      <w:lvlText w:val="%4."/>
      <w:lvlJc w:val="left"/>
      <w:pPr>
        <w:ind w:left="3283" w:hanging="360"/>
      </w:pPr>
    </w:lvl>
    <w:lvl w:ilvl="4" w:tplc="040E0019" w:tentative="1">
      <w:start w:val="1"/>
      <w:numFmt w:val="lowerLetter"/>
      <w:lvlText w:val="%5."/>
      <w:lvlJc w:val="left"/>
      <w:pPr>
        <w:ind w:left="4003" w:hanging="360"/>
      </w:pPr>
    </w:lvl>
    <w:lvl w:ilvl="5" w:tplc="040E001B" w:tentative="1">
      <w:start w:val="1"/>
      <w:numFmt w:val="lowerRoman"/>
      <w:lvlText w:val="%6."/>
      <w:lvlJc w:val="right"/>
      <w:pPr>
        <w:ind w:left="4723" w:hanging="180"/>
      </w:pPr>
    </w:lvl>
    <w:lvl w:ilvl="6" w:tplc="040E000F" w:tentative="1">
      <w:start w:val="1"/>
      <w:numFmt w:val="decimal"/>
      <w:lvlText w:val="%7."/>
      <w:lvlJc w:val="left"/>
      <w:pPr>
        <w:ind w:left="5443" w:hanging="360"/>
      </w:pPr>
    </w:lvl>
    <w:lvl w:ilvl="7" w:tplc="040E0019" w:tentative="1">
      <w:start w:val="1"/>
      <w:numFmt w:val="lowerLetter"/>
      <w:lvlText w:val="%8."/>
      <w:lvlJc w:val="left"/>
      <w:pPr>
        <w:ind w:left="6163" w:hanging="360"/>
      </w:pPr>
    </w:lvl>
    <w:lvl w:ilvl="8" w:tplc="040E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>
    <w:nsid w:val="28A326F0"/>
    <w:multiLevelType w:val="hybridMultilevel"/>
    <w:tmpl w:val="4724894A"/>
    <w:lvl w:ilvl="0" w:tplc="B0FC6A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A65B6"/>
    <w:multiLevelType w:val="hybridMultilevel"/>
    <w:tmpl w:val="817CD5FE"/>
    <w:lvl w:ilvl="0" w:tplc="EDC68004">
      <w:start w:val="1"/>
      <w:numFmt w:val="upperRoman"/>
      <w:lvlText w:val="%1."/>
      <w:lvlJc w:val="left"/>
      <w:pPr>
        <w:ind w:left="777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6F"/>
    <w:rsid w:val="000F486F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0F48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0F486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0F48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0F486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1052</Words>
  <Characters>7263</Characters>
  <Application>Microsoft Office Word</Application>
  <DocSecurity>0</DocSecurity>
  <Lines>60</Lines>
  <Paragraphs>16</Paragraphs>
  <ScaleCrop>false</ScaleCrop>
  <Company/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2024-10-25T07:41:00Z</dcterms:created>
  <dcterms:modified xsi:type="dcterms:W3CDTF">2024-10-25T07:50:00Z</dcterms:modified>
</cp:coreProperties>
</file>